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14C82" w14:textId="77777777" w:rsidR="00C24506" w:rsidRDefault="00C24506" w:rsidP="00C24506">
      <w:pPr>
        <w:spacing w:line="240" w:lineRule="auto"/>
        <w:jc w:val="center"/>
        <w:rPr>
          <w:b/>
        </w:rPr>
      </w:pPr>
      <w:r w:rsidRPr="00960F42">
        <w:rPr>
          <w:rFonts w:ascii="Calibri" w:eastAsia="Calibri" w:hAnsi="Calibri" w:cs="Calibri"/>
          <w:noProof/>
          <w:position w:val="-1"/>
          <w:lang w:val="en-SG"/>
        </w:rPr>
        <w:drawing>
          <wp:anchor distT="0" distB="0" distL="114300" distR="114300" simplePos="0" relativeHeight="251658240" behindDoc="0" locked="0" layoutInCell="1" allowOverlap="1" wp14:anchorId="10E277DE" wp14:editId="5B1D4AF3">
            <wp:simplePos x="0" y="0"/>
            <wp:positionH relativeFrom="column">
              <wp:posOffset>1878330</wp:posOffset>
            </wp:positionH>
            <wp:positionV relativeFrom="paragraph">
              <wp:posOffset>79513</wp:posOffset>
            </wp:positionV>
            <wp:extent cx="2076450" cy="397510"/>
            <wp:effectExtent l="0" t="0" r="0" b="2540"/>
            <wp:wrapThrough wrapText="bothSides">
              <wp:wrapPolygon edited="0">
                <wp:start x="0" y="0"/>
                <wp:lineTo x="0" y="20703"/>
                <wp:lineTo x="21402" y="20703"/>
                <wp:lineTo x="21402" y="0"/>
                <wp:lineTo x="0" y="0"/>
              </wp:wrapPolygon>
            </wp:wrapThrough>
            <wp:docPr id="4" name="Picture 4" descr="C:\Users\avdelacruz\Downloads\Untitled design (4)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delacruz\Downloads\Untitled design (4) (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0ECF1" w14:textId="77777777" w:rsidR="00C24506" w:rsidRDefault="00C24506" w:rsidP="00C24506">
      <w:pPr>
        <w:spacing w:line="240" w:lineRule="auto"/>
        <w:jc w:val="center"/>
        <w:rPr>
          <w:b/>
        </w:rPr>
      </w:pPr>
    </w:p>
    <w:p w14:paraId="30DED1F6" w14:textId="77777777" w:rsidR="00C24506" w:rsidRDefault="00C24506" w:rsidP="00C24506">
      <w:pPr>
        <w:spacing w:line="240" w:lineRule="auto"/>
        <w:jc w:val="center"/>
        <w:rPr>
          <w:b/>
        </w:rPr>
      </w:pPr>
    </w:p>
    <w:p w14:paraId="6F29A04F" w14:textId="77777777" w:rsidR="00C24506" w:rsidRDefault="00C24506" w:rsidP="00C24506">
      <w:pPr>
        <w:spacing w:line="240" w:lineRule="auto"/>
        <w:jc w:val="center"/>
        <w:rPr>
          <w:b/>
        </w:rPr>
      </w:pPr>
    </w:p>
    <w:p w14:paraId="2AF7DDA7" w14:textId="77777777" w:rsidR="00C24506" w:rsidRDefault="00C24506" w:rsidP="00C24506">
      <w:pPr>
        <w:spacing w:line="240" w:lineRule="auto"/>
        <w:jc w:val="center"/>
        <w:rPr>
          <w:b/>
        </w:rPr>
      </w:pPr>
      <w:r>
        <w:rPr>
          <w:b/>
        </w:rPr>
        <w:t>DEPARTMENT OF SOCIAL WELFARE AND DEVELOPMENT</w:t>
      </w:r>
    </w:p>
    <w:p w14:paraId="01FF1954" w14:textId="77777777" w:rsidR="00C24506" w:rsidRDefault="00C24506" w:rsidP="00C24506">
      <w:pPr>
        <w:spacing w:line="240" w:lineRule="auto"/>
        <w:jc w:val="center"/>
        <w:rPr>
          <w:b/>
        </w:rPr>
      </w:pPr>
      <w:r>
        <w:rPr>
          <w:b/>
        </w:rPr>
        <w:t>FIELD OFFICE 02</w:t>
      </w:r>
    </w:p>
    <w:p w14:paraId="327B4DD5" w14:textId="77777777" w:rsidR="00C6621B" w:rsidRDefault="00C6621B" w:rsidP="00C6621B">
      <w:pPr>
        <w:spacing w:line="240" w:lineRule="auto"/>
        <w:jc w:val="center"/>
        <w:rPr>
          <w:b/>
        </w:rPr>
      </w:pPr>
      <w:r>
        <w:rPr>
          <w:b/>
        </w:rPr>
        <w:t>FY 2022 – FIRST SEMESTER</w:t>
      </w:r>
    </w:p>
    <w:p w14:paraId="3F65C590" w14:textId="77777777" w:rsidR="00C6621B" w:rsidRDefault="00C6621B" w:rsidP="00C24506">
      <w:pPr>
        <w:spacing w:line="240" w:lineRule="auto"/>
        <w:jc w:val="center"/>
        <w:rPr>
          <w:b/>
        </w:rPr>
      </w:pPr>
    </w:p>
    <w:p w14:paraId="3E590658" w14:textId="77777777" w:rsidR="00C6621B" w:rsidRDefault="00C6621B" w:rsidP="00C24506">
      <w:pPr>
        <w:spacing w:line="240" w:lineRule="auto"/>
        <w:jc w:val="center"/>
        <w:rPr>
          <w:b/>
        </w:rPr>
      </w:pPr>
    </w:p>
    <w:p w14:paraId="7855406C" w14:textId="77777777" w:rsidR="00C6621B" w:rsidRPr="00C6621B" w:rsidRDefault="00C6621B" w:rsidP="00C24506">
      <w:pPr>
        <w:spacing w:line="240" w:lineRule="auto"/>
        <w:jc w:val="center"/>
        <w:rPr>
          <w:b/>
        </w:rPr>
      </w:pPr>
      <w:r w:rsidRPr="00C6621B">
        <w:rPr>
          <w:b/>
        </w:rPr>
        <w:t xml:space="preserve">HPMES Forms 5, 5A and 5B </w:t>
      </w:r>
    </w:p>
    <w:p w14:paraId="799562FF" w14:textId="77777777" w:rsidR="00C6621B" w:rsidRPr="00C6621B" w:rsidRDefault="00C6621B" w:rsidP="00C24506">
      <w:pPr>
        <w:spacing w:line="240" w:lineRule="auto"/>
        <w:jc w:val="center"/>
        <w:rPr>
          <w:b/>
        </w:rPr>
      </w:pPr>
      <w:r w:rsidRPr="00C6621B">
        <w:rPr>
          <w:b/>
        </w:rPr>
        <w:t>SEMESTRAL NARRATIVE ASSESSMENT REPORT</w:t>
      </w:r>
    </w:p>
    <w:p w14:paraId="7303C2E6" w14:textId="77777777" w:rsidR="00C6621B" w:rsidRDefault="00C6621B" w:rsidP="00C24506">
      <w:pPr>
        <w:spacing w:line="240" w:lineRule="auto"/>
        <w:jc w:val="center"/>
      </w:pPr>
      <w:r>
        <w:t>======================================================================</w:t>
      </w:r>
    </w:p>
    <w:p w14:paraId="7258F1E7" w14:textId="77777777" w:rsidR="00C6621B" w:rsidRDefault="00C6621B" w:rsidP="00C24506">
      <w:pPr>
        <w:spacing w:line="240" w:lineRule="auto"/>
        <w:jc w:val="center"/>
        <w:rPr>
          <w:b/>
        </w:rPr>
      </w:pPr>
    </w:p>
    <w:p w14:paraId="594530F7" w14:textId="77777777" w:rsidR="00C24506" w:rsidRDefault="00C24506" w:rsidP="00C24506">
      <w:pPr>
        <w:spacing w:line="240" w:lineRule="auto"/>
        <w:jc w:val="center"/>
        <w:rPr>
          <w:b/>
        </w:rPr>
      </w:pPr>
    </w:p>
    <w:p w14:paraId="4E744BEC" w14:textId="77777777" w:rsidR="00C24506" w:rsidRDefault="00C24506" w:rsidP="00C24506">
      <w:pPr>
        <w:spacing w:line="240" w:lineRule="auto"/>
        <w:jc w:val="both"/>
        <w:rPr>
          <w:b/>
        </w:rPr>
      </w:pPr>
      <w:r>
        <w:rPr>
          <w:b/>
        </w:rPr>
        <w:t>PART I. BACKGROUND INFORMATION</w:t>
      </w:r>
    </w:p>
    <w:p w14:paraId="5E916E8E" w14:textId="77777777" w:rsidR="00B13A43" w:rsidRDefault="00B13A43" w:rsidP="00C24506">
      <w:pPr>
        <w:spacing w:line="240" w:lineRule="auto"/>
        <w:jc w:val="both"/>
        <w:rPr>
          <w:b/>
        </w:rPr>
      </w:pPr>
    </w:p>
    <w:p w14:paraId="0C4B24EA" w14:textId="77DB8D49" w:rsidR="00B13A43" w:rsidRPr="00C24506" w:rsidRDefault="00B13A43" w:rsidP="00B13A43">
      <w:pPr>
        <w:spacing w:line="240" w:lineRule="auto"/>
        <w:jc w:val="both"/>
        <w:rPr>
          <w:sz w:val="24"/>
          <w:szCs w:val="24"/>
        </w:rPr>
      </w:pPr>
      <w:r w:rsidRPr="0068148D">
        <w:rPr>
          <w:sz w:val="24"/>
          <w:szCs w:val="24"/>
        </w:rPr>
        <w:t>As the lead agency in the field of social protection, DSWD is fully cognizant of the severe effects of poverty in the region as well as the dangers and vulnerabilities faced by the sectors</w:t>
      </w:r>
      <w:r>
        <w:rPr>
          <w:sz w:val="24"/>
          <w:szCs w:val="24"/>
        </w:rPr>
        <w:t>.</w:t>
      </w:r>
      <w:r w:rsidRPr="0068148D">
        <w:rPr>
          <w:sz w:val="24"/>
          <w:szCs w:val="24"/>
        </w:rPr>
        <w:t xml:space="preserve"> Therefore, social protection services and initiatives for the underprivileged, marginalized, and disadvantaged sectors must be </w:t>
      </w:r>
      <w:r w:rsidR="00413F89" w:rsidRPr="0068148D">
        <w:rPr>
          <w:sz w:val="24"/>
          <w:szCs w:val="24"/>
        </w:rPr>
        <w:t>adequate</w:t>
      </w:r>
      <w:r w:rsidR="00413F89">
        <w:rPr>
          <w:sz w:val="24"/>
          <w:szCs w:val="24"/>
        </w:rPr>
        <w:t xml:space="preserve"> </w:t>
      </w:r>
      <w:r w:rsidR="00413F89" w:rsidRPr="0068148D">
        <w:rPr>
          <w:sz w:val="24"/>
          <w:szCs w:val="24"/>
        </w:rPr>
        <w:t>and</w:t>
      </w:r>
      <w:r w:rsidRPr="0068148D">
        <w:rPr>
          <w:sz w:val="24"/>
          <w:szCs w:val="24"/>
        </w:rPr>
        <w:t xml:space="preserve"> responsive</w:t>
      </w:r>
      <w:r>
        <w:rPr>
          <w:sz w:val="24"/>
          <w:szCs w:val="24"/>
        </w:rPr>
        <w:t xml:space="preserve"> enough to meet the challenges</w:t>
      </w:r>
      <w:r w:rsidRPr="0068148D">
        <w:rPr>
          <w:sz w:val="24"/>
          <w:szCs w:val="24"/>
        </w:rPr>
        <w:t>. To lessen risks and vulnerabilities in every area, it is also necessary to continually address the need to strengthen sectoral capacities.</w:t>
      </w:r>
    </w:p>
    <w:p w14:paraId="39D3EAFE" w14:textId="77777777" w:rsidR="00C24506" w:rsidRDefault="00C24506" w:rsidP="00C24506">
      <w:pPr>
        <w:spacing w:line="240" w:lineRule="auto"/>
        <w:jc w:val="both"/>
        <w:rPr>
          <w:b/>
        </w:rPr>
      </w:pPr>
    </w:p>
    <w:p w14:paraId="11EADEC7" w14:textId="77777777" w:rsidR="00C24506" w:rsidRDefault="00C24506" w:rsidP="00C24506">
      <w:pPr>
        <w:spacing w:line="240" w:lineRule="auto"/>
        <w:jc w:val="both"/>
        <w:rPr>
          <w:sz w:val="24"/>
          <w:szCs w:val="24"/>
        </w:rPr>
      </w:pPr>
      <w:r w:rsidRPr="00C24506">
        <w:rPr>
          <w:sz w:val="24"/>
          <w:szCs w:val="24"/>
        </w:rPr>
        <w:t>The Department of Social Welfare and Development (DSWD) assist</w:t>
      </w:r>
      <w:r w:rsidR="00B13A43">
        <w:rPr>
          <w:sz w:val="24"/>
          <w:szCs w:val="24"/>
        </w:rPr>
        <w:t xml:space="preserve"> </w:t>
      </w:r>
      <w:r w:rsidRPr="00C24506">
        <w:rPr>
          <w:sz w:val="24"/>
          <w:szCs w:val="24"/>
        </w:rPr>
        <w:t>other national government organizations (NGAs), local government units (LGUs), non-government organizations (NGOs), people's organizations (POs), and members of civil society in implementing programs, projects, and services into place that will reduce poverty and enable underprivileged people, families, and communities to improve their quality of life. It carries out specialized and statutory social welfare projects and programs.</w:t>
      </w:r>
    </w:p>
    <w:p w14:paraId="7A713D39" w14:textId="77777777" w:rsidR="0068148D" w:rsidRDefault="0068148D" w:rsidP="00C24506">
      <w:pPr>
        <w:spacing w:line="240" w:lineRule="auto"/>
        <w:jc w:val="both"/>
        <w:rPr>
          <w:sz w:val="24"/>
          <w:szCs w:val="24"/>
        </w:rPr>
      </w:pPr>
    </w:p>
    <w:p w14:paraId="6546B81A" w14:textId="487B1F3E" w:rsidR="00C24506" w:rsidRDefault="0068148D" w:rsidP="00C24506">
      <w:pPr>
        <w:spacing w:line="240" w:lineRule="auto"/>
        <w:jc w:val="both"/>
      </w:pPr>
      <w:r>
        <w:rPr>
          <w:sz w:val="24"/>
          <w:szCs w:val="24"/>
        </w:rPr>
        <w:t>This report is in accordance</w:t>
      </w:r>
      <w:r w:rsidRPr="0068148D">
        <w:rPr>
          <w:sz w:val="24"/>
          <w:szCs w:val="24"/>
        </w:rPr>
        <w:t xml:space="preserve"> </w:t>
      </w:r>
      <w:r>
        <w:rPr>
          <w:sz w:val="24"/>
          <w:szCs w:val="24"/>
        </w:rPr>
        <w:t>with</w:t>
      </w:r>
      <w:r w:rsidRPr="0068148D">
        <w:rPr>
          <w:sz w:val="24"/>
          <w:szCs w:val="24"/>
        </w:rPr>
        <w:t xml:space="preserve"> the performance indicators reflected in the D</w:t>
      </w:r>
      <w:r w:rsidR="00B13A43">
        <w:rPr>
          <w:sz w:val="24"/>
          <w:szCs w:val="24"/>
        </w:rPr>
        <w:t>SWD Strategic Results Framework. T</w:t>
      </w:r>
      <w:r w:rsidRPr="0068148D">
        <w:rPr>
          <w:sz w:val="24"/>
          <w:szCs w:val="24"/>
        </w:rPr>
        <w:t xml:space="preserve">he Department of Social Welfare and Development (DSWD) Field Office II Assessment Report for CY 2022 </w:t>
      </w:r>
      <w:r w:rsidR="004B4CDE">
        <w:rPr>
          <w:sz w:val="24"/>
          <w:szCs w:val="24"/>
        </w:rPr>
        <w:t>–</w:t>
      </w:r>
      <w:r w:rsidRPr="0068148D">
        <w:rPr>
          <w:sz w:val="24"/>
          <w:szCs w:val="24"/>
        </w:rPr>
        <w:t xml:space="preserve"> </w:t>
      </w:r>
      <w:r w:rsidR="004B4CDE">
        <w:rPr>
          <w:sz w:val="24"/>
          <w:szCs w:val="24"/>
        </w:rPr>
        <w:t>1st</w:t>
      </w:r>
      <w:r w:rsidRPr="0068148D">
        <w:rPr>
          <w:sz w:val="24"/>
          <w:szCs w:val="24"/>
        </w:rPr>
        <w:t xml:space="preserve"> Semester aims to objectively assess the Department's performance for 2022 and provide recommendations that </w:t>
      </w:r>
      <w:r w:rsidR="00413F89">
        <w:rPr>
          <w:sz w:val="24"/>
          <w:szCs w:val="24"/>
        </w:rPr>
        <w:t>entails</w:t>
      </w:r>
      <w:r w:rsidRPr="0068148D">
        <w:rPr>
          <w:sz w:val="24"/>
          <w:szCs w:val="24"/>
        </w:rPr>
        <w:t xml:space="preserve"> necessary actions from the DSWD management and concerned oversight agencies. This is one of the main outputs of the Harmonized Planning, Monitoring, and Evaluation System (HPMES), which was created as part of reports from the Programs, Units, Services, and Projects regarding the implementation of policies and programs as well as social welfare and development laws</w:t>
      </w:r>
      <w:r w:rsidR="00413F89">
        <w:rPr>
          <w:sz w:val="24"/>
          <w:szCs w:val="24"/>
        </w:rPr>
        <w:t>.</w:t>
      </w:r>
      <w:r w:rsidRPr="0068148D">
        <w:rPr>
          <w:sz w:val="24"/>
          <w:szCs w:val="24"/>
        </w:rPr>
        <w:t xml:space="preserve"> </w:t>
      </w:r>
    </w:p>
    <w:p w14:paraId="6511BC26" w14:textId="77777777" w:rsidR="0068148D" w:rsidRDefault="0068148D" w:rsidP="0068148D">
      <w:pPr>
        <w:spacing w:line="240" w:lineRule="auto"/>
        <w:jc w:val="both"/>
      </w:pPr>
    </w:p>
    <w:p w14:paraId="746BDD8F" w14:textId="77777777" w:rsidR="0068148D" w:rsidRPr="00C24506" w:rsidRDefault="0068148D" w:rsidP="0068148D">
      <w:pPr>
        <w:spacing w:line="240" w:lineRule="auto"/>
        <w:jc w:val="both"/>
      </w:pPr>
      <w:r w:rsidRPr="007C3880">
        <w:rPr>
          <w:b/>
        </w:rPr>
        <w:t>II. ASSESSMENT OF PHYSICAL AND FINANCIAL ACCOMPLISHMENTS</w:t>
      </w:r>
    </w:p>
    <w:p w14:paraId="691FBC65" w14:textId="77777777" w:rsidR="00C24506" w:rsidRDefault="00C24506" w:rsidP="00C24506">
      <w:pPr>
        <w:spacing w:line="240" w:lineRule="auto"/>
        <w:jc w:val="center"/>
        <w:rPr>
          <w:b/>
        </w:rPr>
      </w:pPr>
    </w:p>
    <w:p w14:paraId="018B5BDE" w14:textId="77777777" w:rsidR="0068148D" w:rsidRPr="0068658E" w:rsidRDefault="0068148D" w:rsidP="0068148D">
      <w:pPr>
        <w:pStyle w:val="NoSpacing"/>
        <w:jc w:val="center"/>
        <w:rPr>
          <w:b/>
        </w:rPr>
      </w:pPr>
      <w:r w:rsidRPr="0068658E">
        <w:rPr>
          <w:b/>
        </w:rPr>
        <w:t>Table 1. Targets versus Accomplishments on Outcome Indicators of Office/Program</w:t>
      </w:r>
    </w:p>
    <w:tbl>
      <w:tblPr>
        <w:tblStyle w:val="TableGrid"/>
        <w:tblW w:w="10365" w:type="dxa"/>
        <w:tblLayout w:type="fixed"/>
        <w:tblLook w:val="0600" w:firstRow="0" w:lastRow="0" w:firstColumn="0" w:lastColumn="0" w:noHBand="1" w:noVBand="1"/>
      </w:tblPr>
      <w:tblGrid>
        <w:gridCol w:w="2280"/>
        <w:gridCol w:w="1543"/>
        <w:gridCol w:w="1701"/>
        <w:gridCol w:w="1275"/>
        <w:gridCol w:w="1276"/>
        <w:gridCol w:w="2290"/>
      </w:tblGrid>
      <w:tr w:rsidR="0068148D" w14:paraId="6DDBB67A" w14:textId="77777777" w:rsidTr="00253CF4">
        <w:trPr>
          <w:trHeight w:val="233"/>
        </w:trPr>
        <w:tc>
          <w:tcPr>
            <w:tcW w:w="2280" w:type="dxa"/>
            <w:shd w:val="clear" w:color="auto" w:fill="DEEAF6" w:themeFill="accent1" w:themeFillTint="33"/>
          </w:tcPr>
          <w:p w14:paraId="5A4FF9B6" w14:textId="77777777" w:rsidR="0068148D" w:rsidRPr="002D57EA" w:rsidRDefault="0068148D" w:rsidP="0068148D">
            <w:pPr>
              <w:pStyle w:val="NoSpacing"/>
              <w:rPr>
                <w:b/>
              </w:rPr>
            </w:pPr>
            <w:r w:rsidRPr="002D57EA">
              <w:rPr>
                <w:b/>
              </w:rPr>
              <w:t>Outcome Indicators</w:t>
            </w:r>
          </w:p>
        </w:tc>
        <w:tc>
          <w:tcPr>
            <w:tcW w:w="1543" w:type="dxa"/>
            <w:shd w:val="clear" w:color="auto" w:fill="DEEAF6" w:themeFill="accent1" w:themeFillTint="33"/>
          </w:tcPr>
          <w:p w14:paraId="492B9F72" w14:textId="77777777" w:rsidR="0068148D" w:rsidRPr="002D57EA" w:rsidRDefault="0068148D" w:rsidP="0068148D">
            <w:pPr>
              <w:pStyle w:val="NoSpacing"/>
              <w:rPr>
                <w:b/>
              </w:rPr>
            </w:pPr>
            <w:r w:rsidRPr="002D57EA">
              <w:rPr>
                <w:b/>
              </w:rPr>
              <w:t xml:space="preserve">       Targets</w:t>
            </w:r>
          </w:p>
          <w:p w14:paraId="2990C609" w14:textId="77777777" w:rsidR="0068148D" w:rsidRPr="002D57EA" w:rsidRDefault="0068148D" w:rsidP="0068148D">
            <w:pPr>
              <w:pStyle w:val="NoSpacing"/>
              <w:rPr>
                <w:b/>
              </w:rPr>
            </w:pPr>
          </w:p>
        </w:tc>
        <w:tc>
          <w:tcPr>
            <w:tcW w:w="1701" w:type="dxa"/>
            <w:shd w:val="clear" w:color="auto" w:fill="DEEAF6" w:themeFill="accent1" w:themeFillTint="33"/>
          </w:tcPr>
          <w:p w14:paraId="320A1725" w14:textId="77777777" w:rsidR="0068148D" w:rsidRPr="002D57EA" w:rsidRDefault="0068148D" w:rsidP="0068148D">
            <w:pPr>
              <w:pStyle w:val="NoSpacing"/>
              <w:rPr>
                <w:b/>
              </w:rPr>
            </w:pPr>
            <w:r w:rsidRPr="002D57EA">
              <w:rPr>
                <w:b/>
              </w:rPr>
              <w:t>Accomplishments</w:t>
            </w:r>
          </w:p>
        </w:tc>
        <w:tc>
          <w:tcPr>
            <w:tcW w:w="1275" w:type="dxa"/>
            <w:shd w:val="clear" w:color="auto" w:fill="DEEAF6" w:themeFill="accent1" w:themeFillTint="33"/>
          </w:tcPr>
          <w:p w14:paraId="4826B20B" w14:textId="77777777" w:rsidR="0068148D" w:rsidRPr="002D57EA" w:rsidRDefault="0068148D" w:rsidP="0068148D">
            <w:pPr>
              <w:pStyle w:val="NoSpacing"/>
              <w:rPr>
                <w:b/>
              </w:rPr>
            </w:pPr>
            <w:r w:rsidRPr="002D57EA">
              <w:rPr>
                <w:b/>
              </w:rPr>
              <w:t>Variance</w:t>
            </w:r>
          </w:p>
        </w:tc>
        <w:tc>
          <w:tcPr>
            <w:tcW w:w="1276" w:type="dxa"/>
            <w:shd w:val="clear" w:color="auto" w:fill="DEEAF6" w:themeFill="accent1" w:themeFillTint="33"/>
          </w:tcPr>
          <w:p w14:paraId="0F893467" w14:textId="77777777" w:rsidR="0068148D" w:rsidRPr="002D57EA" w:rsidRDefault="0068148D" w:rsidP="0068148D">
            <w:pPr>
              <w:pStyle w:val="NoSpacing"/>
              <w:rPr>
                <w:b/>
              </w:rPr>
            </w:pPr>
            <w:r w:rsidRPr="002D57EA">
              <w:rPr>
                <w:b/>
              </w:rPr>
              <w:t>Assessment</w:t>
            </w:r>
          </w:p>
        </w:tc>
        <w:tc>
          <w:tcPr>
            <w:tcW w:w="2290" w:type="dxa"/>
            <w:shd w:val="clear" w:color="auto" w:fill="DEEAF6" w:themeFill="accent1" w:themeFillTint="33"/>
          </w:tcPr>
          <w:p w14:paraId="1DAC162E" w14:textId="77777777" w:rsidR="0068148D" w:rsidRPr="002D57EA" w:rsidRDefault="0068148D" w:rsidP="0068148D">
            <w:pPr>
              <w:pStyle w:val="NoSpacing"/>
              <w:rPr>
                <w:b/>
              </w:rPr>
            </w:pPr>
            <w:r w:rsidRPr="002D57EA">
              <w:rPr>
                <w:b/>
              </w:rPr>
              <w:t>Remarks/Reasons for Variance</w:t>
            </w:r>
          </w:p>
        </w:tc>
      </w:tr>
      <w:tr w:rsidR="0068148D" w14:paraId="5B7B2F83" w14:textId="77777777" w:rsidTr="0068148D">
        <w:trPr>
          <w:trHeight w:val="481"/>
        </w:trPr>
        <w:tc>
          <w:tcPr>
            <w:tcW w:w="10365" w:type="dxa"/>
            <w:gridSpan w:val="6"/>
            <w:shd w:val="clear" w:color="auto" w:fill="E2EFD9" w:themeFill="accent6" w:themeFillTint="33"/>
          </w:tcPr>
          <w:p w14:paraId="20F4695F" w14:textId="77777777" w:rsidR="0068148D" w:rsidRPr="00265FD2" w:rsidRDefault="0068148D" w:rsidP="0068148D">
            <w:pPr>
              <w:pStyle w:val="NoSpacing"/>
              <w:rPr>
                <w:b/>
              </w:rPr>
            </w:pPr>
            <w:r w:rsidRPr="00265FD2">
              <w:rPr>
                <w:b/>
              </w:rPr>
              <w:t xml:space="preserve">Strategic Focus 2: Improve </w:t>
            </w:r>
            <w:r>
              <w:rPr>
                <w:b/>
              </w:rPr>
              <w:t xml:space="preserve">the </w:t>
            </w:r>
            <w:r w:rsidRPr="00265FD2">
              <w:rPr>
                <w:b/>
              </w:rPr>
              <w:t xml:space="preserve">well-being of Beneficiaries and 4Ps households through </w:t>
            </w:r>
            <w:r>
              <w:rPr>
                <w:b/>
              </w:rPr>
              <w:t xml:space="preserve">the </w:t>
            </w:r>
            <w:r w:rsidRPr="00265FD2">
              <w:rPr>
                <w:b/>
              </w:rPr>
              <w:t>strengthened social welfare system</w:t>
            </w:r>
          </w:p>
        </w:tc>
      </w:tr>
      <w:tr w:rsidR="0068148D" w14:paraId="1F183DD1" w14:textId="77777777" w:rsidTr="0068148D">
        <w:trPr>
          <w:trHeight w:val="247"/>
        </w:trPr>
        <w:tc>
          <w:tcPr>
            <w:tcW w:w="10365" w:type="dxa"/>
            <w:gridSpan w:val="6"/>
            <w:shd w:val="clear" w:color="auto" w:fill="FBE4D5" w:themeFill="accent2" w:themeFillTint="33"/>
          </w:tcPr>
          <w:p w14:paraId="1FDA91CE" w14:textId="77777777" w:rsidR="0068148D" w:rsidRDefault="0068148D" w:rsidP="0068148D">
            <w:pPr>
              <w:pStyle w:val="NoSpacing"/>
              <w:rPr>
                <w:b/>
              </w:rPr>
            </w:pPr>
            <w:r w:rsidRPr="009D2010">
              <w:rPr>
                <w:b/>
              </w:rPr>
              <w:t>Organizational Outcome 1: Wellbeing Of Poor Families Improved</w:t>
            </w:r>
          </w:p>
        </w:tc>
      </w:tr>
      <w:tr w:rsidR="0068148D" w14:paraId="55CC0CDF" w14:textId="77777777" w:rsidTr="0068148D">
        <w:trPr>
          <w:trHeight w:val="247"/>
        </w:trPr>
        <w:tc>
          <w:tcPr>
            <w:tcW w:w="10365" w:type="dxa"/>
            <w:gridSpan w:val="6"/>
            <w:shd w:val="clear" w:color="auto" w:fill="FFFFFF" w:themeFill="background1"/>
          </w:tcPr>
          <w:p w14:paraId="00083453" w14:textId="77777777" w:rsidR="0068148D" w:rsidRPr="00265FD2" w:rsidRDefault="0068148D" w:rsidP="0068148D">
            <w:pPr>
              <w:pStyle w:val="NoSpacing"/>
              <w:rPr>
                <w:b/>
              </w:rPr>
            </w:pPr>
            <w:r>
              <w:rPr>
                <w:b/>
              </w:rPr>
              <w:t>Pantawid Pamilyang Pilipino Program</w:t>
            </w:r>
          </w:p>
        </w:tc>
      </w:tr>
      <w:tr w:rsidR="0068148D" w14:paraId="72845633" w14:textId="77777777" w:rsidTr="00253CF4">
        <w:trPr>
          <w:trHeight w:val="114"/>
        </w:trPr>
        <w:tc>
          <w:tcPr>
            <w:tcW w:w="2280" w:type="dxa"/>
          </w:tcPr>
          <w:p w14:paraId="1016B41D" w14:textId="77777777" w:rsidR="0068148D" w:rsidRPr="0068658E" w:rsidRDefault="0068148D" w:rsidP="0068148D">
            <w:pPr>
              <w:pStyle w:val="NoSpacing"/>
            </w:pPr>
            <w:r w:rsidRPr="00D122E4">
              <w:t>1.1. Percentage of Pantawid Households with improved well-being</w:t>
            </w:r>
          </w:p>
        </w:tc>
        <w:tc>
          <w:tcPr>
            <w:tcW w:w="1543" w:type="dxa"/>
          </w:tcPr>
          <w:p w14:paraId="52086944" w14:textId="77777777" w:rsidR="0068148D" w:rsidRPr="00FE3426" w:rsidRDefault="0068148D" w:rsidP="0068148D">
            <w:pPr>
              <w:pStyle w:val="NoSpacing"/>
              <w:jc w:val="right"/>
              <w:rPr>
                <w:szCs w:val="18"/>
              </w:rPr>
            </w:pPr>
          </w:p>
        </w:tc>
        <w:tc>
          <w:tcPr>
            <w:tcW w:w="1701" w:type="dxa"/>
          </w:tcPr>
          <w:p w14:paraId="27BB4067" w14:textId="77777777" w:rsidR="0068148D" w:rsidRPr="00FE3426" w:rsidRDefault="0068148D" w:rsidP="0068148D">
            <w:pPr>
              <w:pStyle w:val="NoSpacing"/>
              <w:jc w:val="both"/>
            </w:pPr>
          </w:p>
        </w:tc>
        <w:tc>
          <w:tcPr>
            <w:tcW w:w="1275" w:type="dxa"/>
          </w:tcPr>
          <w:p w14:paraId="55A27C12" w14:textId="77777777" w:rsidR="0068148D" w:rsidRDefault="0068148D" w:rsidP="0068148D">
            <w:pPr>
              <w:pStyle w:val="NoSpacing"/>
            </w:pPr>
          </w:p>
        </w:tc>
        <w:tc>
          <w:tcPr>
            <w:tcW w:w="1276" w:type="dxa"/>
          </w:tcPr>
          <w:p w14:paraId="557E9169" w14:textId="77777777" w:rsidR="0068148D" w:rsidRPr="00B42E7B" w:rsidRDefault="0068148D" w:rsidP="0068148D">
            <w:pPr>
              <w:pStyle w:val="NoSpacing"/>
            </w:pPr>
          </w:p>
        </w:tc>
        <w:tc>
          <w:tcPr>
            <w:tcW w:w="2290" w:type="dxa"/>
          </w:tcPr>
          <w:p w14:paraId="739D3EEF" w14:textId="77777777" w:rsidR="0068148D" w:rsidRDefault="0068148D" w:rsidP="00C94657">
            <w:pPr>
              <w:pStyle w:val="NoSpacing"/>
              <w:jc w:val="both"/>
            </w:pPr>
          </w:p>
        </w:tc>
      </w:tr>
      <w:tr w:rsidR="0068148D" w14:paraId="46E04EBB" w14:textId="77777777" w:rsidTr="00253CF4">
        <w:trPr>
          <w:trHeight w:val="114"/>
        </w:trPr>
        <w:tc>
          <w:tcPr>
            <w:tcW w:w="2280" w:type="dxa"/>
          </w:tcPr>
          <w:p w14:paraId="59EBDAA3" w14:textId="77777777" w:rsidR="0068148D" w:rsidRPr="00B42E7B" w:rsidRDefault="0068148D" w:rsidP="0068148D">
            <w:pPr>
              <w:pStyle w:val="NoSpacing"/>
            </w:pPr>
            <w:r w:rsidRPr="00B42E7B">
              <w:lastRenderedPageBreak/>
              <w:t>a.1. Survival- Baseline</w:t>
            </w:r>
          </w:p>
        </w:tc>
        <w:tc>
          <w:tcPr>
            <w:tcW w:w="1543" w:type="dxa"/>
          </w:tcPr>
          <w:p w14:paraId="482F7FA6" w14:textId="77777777" w:rsidR="0068148D" w:rsidRPr="00356193" w:rsidRDefault="0068148D" w:rsidP="0068148D">
            <w:pPr>
              <w:pStyle w:val="NoSpacing"/>
              <w:jc w:val="center"/>
            </w:pPr>
          </w:p>
        </w:tc>
        <w:tc>
          <w:tcPr>
            <w:tcW w:w="1701" w:type="dxa"/>
          </w:tcPr>
          <w:p w14:paraId="6140D460" w14:textId="77777777" w:rsidR="0068148D" w:rsidRPr="00356193" w:rsidRDefault="007146C4" w:rsidP="0068148D">
            <w:pPr>
              <w:pStyle w:val="NoSpacing"/>
              <w:jc w:val="center"/>
            </w:pPr>
            <w:r w:rsidRPr="00356193">
              <w:t>395</w:t>
            </w:r>
          </w:p>
        </w:tc>
        <w:tc>
          <w:tcPr>
            <w:tcW w:w="1275" w:type="dxa"/>
          </w:tcPr>
          <w:p w14:paraId="0F20553F" w14:textId="77777777" w:rsidR="0068148D" w:rsidRDefault="0068148D" w:rsidP="0068148D">
            <w:pPr>
              <w:pStyle w:val="NoSpacing"/>
            </w:pPr>
          </w:p>
        </w:tc>
        <w:tc>
          <w:tcPr>
            <w:tcW w:w="1276" w:type="dxa"/>
          </w:tcPr>
          <w:p w14:paraId="66731AB7" w14:textId="77777777" w:rsidR="0068148D" w:rsidRDefault="0068148D" w:rsidP="0068148D">
            <w:pPr>
              <w:pStyle w:val="NoSpacing"/>
            </w:pPr>
          </w:p>
        </w:tc>
        <w:tc>
          <w:tcPr>
            <w:tcW w:w="2290" w:type="dxa"/>
            <w:vMerge w:val="restart"/>
          </w:tcPr>
          <w:p w14:paraId="68D4CD99" w14:textId="77777777" w:rsidR="0068148D" w:rsidRDefault="0068148D" w:rsidP="0068148D">
            <w:pPr>
              <w:pStyle w:val="NoSpacing"/>
              <w:jc w:val="both"/>
            </w:pPr>
          </w:p>
        </w:tc>
      </w:tr>
      <w:tr w:rsidR="0068148D" w14:paraId="64351EC7" w14:textId="77777777" w:rsidTr="00253CF4">
        <w:trPr>
          <w:trHeight w:val="114"/>
        </w:trPr>
        <w:tc>
          <w:tcPr>
            <w:tcW w:w="2280" w:type="dxa"/>
          </w:tcPr>
          <w:p w14:paraId="26394835" w14:textId="77777777" w:rsidR="0068148D" w:rsidRPr="00B42E7B" w:rsidRDefault="0068148D" w:rsidP="0068148D">
            <w:pPr>
              <w:pStyle w:val="NoSpacing"/>
            </w:pPr>
            <w:r w:rsidRPr="00B42E7B">
              <w:t>a.2.Survival to           Subsistence</w:t>
            </w:r>
          </w:p>
        </w:tc>
        <w:tc>
          <w:tcPr>
            <w:tcW w:w="1543" w:type="dxa"/>
          </w:tcPr>
          <w:p w14:paraId="7E93DEC9" w14:textId="77777777" w:rsidR="0068148D" w:rsidRPr="00356193" w:rsidRDefault="0068148D" w:rsidP="0068148D">
            <w:pPr>
              <w:pStyle w:val="NoSpacing"/>
              <w:jc w:val="center"/>
            </w:pPr>
          </w:p>
        </w:tc>
        <w:tc>
          <w:tcPr>
            <w:tcW w:w="1701" w:type="dxa"/>
          </w:tcPr>
          <w:p w14:paraId="09D6B471" w14:textId="77777777" w:rsidR="0068148D" w:rsidRPr="00356193" w:rsidRDefault="0068148D" w:rsidP="0068148D">
            <w:pPr>
              <w:pStyle w:val="NoSpacing"/>
              <w:jc w:val="center"/>
            </w:pPr>
          </w:p>
        </w:tc>
        <w:tc>
          <w:tcPr>
            <w:tcW w:w="1275" w:type="dxa"/>
          </w:tcPr>
          <w:p w14:paraId="0CD50A6D" w14:textId="77777777" w:rsidR="0068148D" w:rsidRDefault="0068148D" w:rsidP="0068148D">
            <w:pPr>
              <w:pStyle w:val="NoSpacing"/>
            </w:pPr>
          </w:p>
        </w:tc>
        <w:tc>
          <w:tcPr>
            <w:tcW w:w="1276" w:type="dxa"/>
          </w:tcPr>
          <w:p w14:paraId="63FDB3FD" w14:textId="77777777" w:rsidR="0068148D" w:rsidRDefault="0068148D" w:rsidP="0068148D">
            <w:pPr>
              <w:pStyle w:val="NoSpacing"/>
            </w:pPr>
          </w:p>
        </w:tc>
        <w:tc>
          <w:tcPr>
            <w:tcW w:w="2290" w:type="dxa"/>
            <w:vMerge/>
          </w:tcPr>
          <w:p w14:paraId="16EEDA30" w14:textId="77777777" w:rsidR="0068148D" w:rsidRDefault="0068148D" w:rsidP="0068148D">
            <w:pPr>
              <w:pStyle w:val="NoSpacing"/>
              <w:jc w:val="both"/>
            </w:pPr>
          </w:p>
        </w:tc>
      </w:tr>
      <w:tr w:rsidR="0068148D" w14:paraId="2CCB3187" w14:textId="77777777" w:rsidTr="00253CF4">
        <w:trPr>
          <w:trHeight w:val="114"/>
        </w:trPr>
        <w:tc>
          <w:tcPr>
            <w:tcW w:w="2280" w:type="dxa"/>
          </w:tcPr>
          <w:p w14:paraId="64EAB319" w14:textId="77777777" w:rsidR="0068148D" w:rsidRPr="00B42E7B" w:rsidRDefault="0068148D" w:rsidP="0068148D">
            <w:pPr>
              <w:pStyle w:val="NoSpacing"/>
            </w:pPr>
            <w:r w:rsidRPr="00B42E7B">
              <w:t xml:space="preserve">b.1. Subsistence </w:t>
            </w:r>
            <w:r w:rsidR="00E12A0B">
              <w:t>–</w:t>
            </w:r>
            <w:r w:rsidRPr="00B42E7B">
              <w:t xml:space="preserve"> Baseline</w:t>
            </w:r>
          </w:p>
        </w:tc>
        <w:tc>
          <w:tcPr>
            <w:tcW w:w="1543" w:type="dxa"/>
          </w:tcPr>
          <w:p w14:paraId="1AE5BB1F" w14:textId="77777777" w:rsidR="0068148D" w:rsidRPr="00356193" w:rsidRDefault="0068148D" w:rsidP="0068148D">
            <w:pPr>
              <w:pStyle w:val="NoSpacing"/>
              <w:jc w:val="center"/>
            </w:pPr>
          </w:p>
        </w:tc>
        <w:tc>
          <w:tcPr>
            <w:tcW w:w="1701" w:type="dxa"/>
          </w:tcPr>
          <w:p w14:paraId="7A486375" w14:textId="77777777" w:rsidR="0068148D" w:rsidRPr="00356193" w:rsidRDefault="007146C4" w:rsidP="0068148D">
            <w:pPr>
              <w:pStyle w:val="NoSpacing"/>
              <w:jc w:val="center"/>
            </w:pPr>
            <w:r w:rsidRPr="00356193">
              <w:t>79,404</w:t>
            </w:r>
          </w:p>
        </w:tc>
        <w:tc>
          <w:tcPr>
            <w:tcW w:w="1275" w:type="dxa"/>
          </w:tcPr>
          <w:p w14:paraId="461C7F7B" w14:textId="77777777" w:rsidR="0068148D" w:rsidRDefault="0068148D" w:rsidP="0068148D">
            <w:pPr>
              <w:pStyle w:val="NoSpacing"/>
            </w:pPr>
          </w:p>
        </w:tc>
        <w:tc>
          <w:tcPr>
            <w:tcW w:w="1276" w:type="dxa"/>
          </w:tcPr>
          <w:p w14:paraId="4E5374D0" w14:textId="77777777" w:rsidR="0068148D" w:rsidRDefault="0068148D" w:rsidP="0068148D">
            <w:pPr>
              <w:pStyle w:val="NoSpacing"/>
            </w:pPr>
          </w:p>
        </w:tc>
        <w:tc>
          <w:tcPr>
            <w:tcW w:w="2290" w:type="dxa"/>
            <w:vMerge/>
          </w:tcPr>
          <w:p w14:paraId="72B53550" w14:textId="77777777" w:rsidR="0068148D" w:rsidRDefault="0068148D" w:rsidP="0068148D">
            <w:pPr>
              <w:pStyle w:val="NoSpacing"/>
              <w:jc w:val="both"/>
            </w:pPr>
          </w:p>
        </w:tc>
      </w:tr>
      <w:tr w:rsidR="0068148D" w14:paraId="677F3035" w14:textId="77777777" w:rsidTr="00253CF4">
        <w:trPr>
          <w:trHeight w:val="114"/>
        </w:trPr>
        <w:tc>
          <w:tcPr>
            <w:tcW w:w="2280" w:type="dxa"/>
          </w:tcPr>
          <w:p w14:paraId="0A37DE70" w14:textId="77777777" w:rsidR="0068148D" w:rsidRPr="00B42E7B" w:rsidRDefault="0068148D" w:rsidP="0068148D">
            <w:pPr>
              <w:pStyle w:val="NoSpacing"/>
            </w:pPr>
            <w:r w:rsidRPr="00B42E7B">
              <w:t>b.2. Subsistence to Self- Sufficiency</w:t>
            </w:r>
          </w:p>
        </w:tc>
        <w:tc>
          <w:tcPr>
            <w:tcW w:w="1543" w:type="dxa"/>
          </w:tcPr>
          <w:p w14:paraId="1C5D32BA" w14:textId="77777777" w:rsidR="0068148D" w:rsidRPr="00356193" w:rsidRDefault="0068148D" w:rsidP="0068148D">
            <w:pPr>
              <w:pStyle w:val="NoSpacing"/>
              <w:jc w:val="center"/>
            </w:pPr>
          </w:p>
        </w:tc>
        <w:tc>
          <w:tcPr>
            <w:tcW w:w="1701" w:type="dxa"/>
          </w:tcPr>
          <w:p w14:paraId="3E6FBA59" w14:textId="77777777" w:rsidR="0068148D" w:rsidRPr="00356193" w:rsidRDefault="0068148D" w:rsidP="0068148D">
            <w:pPr>
              <w:pStyle w:val="NoSpacing"/>
              <w:jc w:val="center"/>
            </w:pPr>
          </w:p>
        </w:tc>
        <w:tc>
          <w:tcPr>
            <w:tcW w:w="1275" w:type="dxa"/>
          </w:tcPr>
          <w:p w14:paraId="5F4CCBAF" w14:textId="77777777" w:rsidR="0068148D" w:rsidRDefault="0068148D" w:rsidP="0068148D">
            <w:pPr>
              <w:pStyle w:val="NoSpacing"/>
            </w:pPr>
          </w:p>
        </w:tc>
        <w:tc>
          <w:tcPr>
            <w:tcW w:w="1276" w:type="dxa"/>
          </w:tcPr>
          <w:p w14:paraId="202EF33C" w14:textId="77777777" w:rsidR="0068148D" w:rsidRDefault="0068148D" w:rsidP="0068148D">
            <w:pPr>
              <w:pStyle w:val="NoSpacing"/>
            </w:pPr>
          </w:p>
        </w:tc>
        <w:tc>
          <w:tcPr>
            <w:tcW w:w="2290" w:type="dxa"/>
            <w:vMerge/>
          </w:tcPr>
          <w:p w14:paraId="44360589" w14:textId="77777777" w:rsidR="0068148D" w:rsidRDefault="0068148D" w:rsidP="0068148D">
            <w:pPr>
              <w:pStyle w:val="NoSpacing"/>
              <w:jc w:val="both"/>
            </w:pPr>
          </w:p>
        </w:tc>
      </w:tr>
      <w:tr w:rsidR="0068148D" w14:paraId="0007DAAB" w14:textId="77777777" w:rsidTr="00253CF4">
        <w:trPr>
          <w:trHeight w:val="114"/>
        </w:trPr>
        <w:tc>
          <w:tcPr>
            <w:tcW w:w="2280" w:type="dxa"/>
          </w:tcPr>
          <w:p w14:paraId="1569607C" w14:textId="77777777" w:rsidR="0068148D" w:rsidRPr="00B42E7B" w:rsidRDefault="0068148D" w:rsidP="0068148D">
            <w:pPr>
              <w:pStyle w:val="NoSpacing"/>
            </w:pPr>
            <w:r w:rsidRPr="00B42E7B">
              <w:t xml:space="preserve">c.1. Self-Sufficient -   Baseline                   </w:t>
            </w:r>
          </w:p>
        </w:tc>
        <w:tc>
          <w:tcPr>
            <w:tcW w:w="1543" w:type="dxa"/>
          </w:tcPr>
          <w:p w14:paraId="06A738DC" w14:textId="77777777" w:rsidR="0068148D" w:rsidRPr="00356193" w:rsidRDefault="0068148D" w:rsidP="0068148D">
            <w:pPr>
              <w:pStyle w:val="NoSpacing"/>
              <w:jc w:val="center"/>
            </w:pPr>
          </w:p>
        </w:tc>
        <w:tc>
          <w:tcPr>
            <w:tcW w:w="1701" w:type="dxa"/>
          </w:tcPr>
          <w:p w14:paraId="583D1228" w14:textId="77777777" w:rsidR="0068148D" w:rsidRPr="00356193" w:rsidRDefault="007146C4" w:rsidP="0068148D">
            <w:pPr>
              <w:pStyle w:val="NoSpacing"/>
              <w:jc w:val="center"/>
            </w:pPr>
            <w:r w:rsidRPr="00356193">
              <w:t>20,235</w:t>
            </w:r>
          </w:p>
        </w:tc>
        <w:tc>
          <w:tcPr>
            <w:tcW w:w="1275" w:type="dxa"/>
          </w:tcPr>
          <w:p w14:paraId="39EE7840" w14:textId="77777777" w:rsidR="0068148D" w:rsidRDefault="0068148D" w:rsidP="0068148D">
            <w:pPr>
              <w:pStyle w:val="NoSpacing"/>
            </w:pPr>
          </w:p>
        </w:tc>
        <w:tc>
          <w:tcPr>
            <w:tcW w:w="1276" w:type="dxa"/>
          </w:tcPr>
          <w:p w14:paraId="0C88026D" w14:textId="77777777" w:rsidR="0068148D" w:rsidRDefault="0068148D" w:rsidP="0068148D">
            <w:pPr>
              <w:pStyle w:val="NoSpacing"/>
            </w:pPr>
          </w:p>
        </w:tc>
        <w:tc>
          <w:tcPr>
            <w:tcW w:w="2290" w:type="dxa"/>
            <w:vMerge/>
          </w:tcPr>
          <w:p w14:paraId="58D1B489" w14:textId="77777777" w:rsidR="0068148D" w:rsidRDefault="0068148D" w:rsidP="0068148D">
            <w:pPr>
              <w:pStyle w:val="NoSpacing"/>
              <w:jc w:val="both"/>
            </w:pPr>
          </w:p>
        </w:tc>
      </w:tr>
      <w:tr w:rsidR="0068148D" w14:paraId="251C73C1" w14:textId="77777777" w:rsidTr="00253CF4">
        <w:trPr>
          <w:trHeight w:val="114"/>
        </w:trPr>
        <w:tc>
          <w:tcPr>
            <w:tcW w:w="2280" w:type="dxa"/>
          </w:tcPr>
          <w:p w14:paraId="485C7F01" w14:textId="77777777" w:rsidR="0068148D" w:rsidRDefault="0068148D" w:rsidP="0068148D">
            <w:pPr>
              <w:pStyle w:val="NoSpacing"/>
            </w:pPr>
            <w:r>
              <w:t xml:space="preserve">c.2.  Survival to Self Sufficiency                                                                                                                                                                                                                                 </w:t>
            </w:r>
          </w:p>
        </w:tc>
        <w:tc>
          <w:tcPr>
            <w:tcW w:w="1543" w:type="dxa"/>
          </w:tcPr>
          <w:p w14:paraId="1F811BA3" w14:textId="77777777" w:rsidR="0068148D" w:rsidRPr="00356193" w:rsidRDefault="0068148D" w:rsidP="0068148D">
            <w:pPr>
              <w:pStyle w:val="NoSpacing"/>
              <w:jc w:val="center"/>
            </w:pPr>
          </w:p>
        </w:tc>
        <w:tc>
          <w:tcPr>
            <w:tcW w:w="1701" w:type="dxa"/>
          </w:tcPr>
          <w:p w14:paraId="370E0E43" w14:textId="77777777" w:rsidR="0068148D" w:rsidRPr="00356193" w:rsidRDefault="0068148D" w:rsidP="0068148D">
            <w:pPr>
              <w:pStyle w:val="NoSpacing"/>
              <w:jc w:val="center"/>
            </w:pPr>
          </w:p>
        </w:tc>
        <w:tc>
          <w:tcPr>
            <w:tcW w:w="1275" w:type="dxa"/>
          </w:tcPr>
          <w:p w14:paraId="3145F635" w14:textId="77777777" w:rsidR="0068148D" w:rsidRDefault="0068148D" w:rsidP="0068148D">
            <w:pPr>
              <w:pStyle w:val="NoSpacing"/>
            </w:pPr>
          </w:p>
        </w:tc>
        <w:tc>
          <w:tcPr>
            <w:tcW w:w="1276" w:type="dxa"/>
          </w:tcPr>
          <w:p w14:paraId="64032F3C" w14:textId="77777777" w:rsidR="0068148D" w:rsidRDefault="0068148D" w:rsidP="0068148D">
            <w:pPr>
              <w:pStyle w:val="NoSpacing"/>
            </w:pPr>
          </w:p>
        </w:tc>
        <w:tc>
          <w:tcPr>
            <w:tcW w:w="2290" w:type="dxa"/>
            <w:vMerge/>
          </w:tcPr>
          <w:p w14:paraId="693804C9" w14:textId="77777777" w:rsidR="0068148D" w:rsidRDefault="0068148D" w:rsidP="0068148D">
            <w:pPr>
              <w:pStyle w:val="NoSpacing"/>
              <w:jc w:val="both"/>
            </w:pPr>
          </w:p>
        </w:tc>
      </w:tr>
      <w:tr w:rsidR="0068148D" w14:paraId="3CC58E6B" w14:textId="77777777" w:rsidTr="00253CF4">
        <w:trPr>
          <w:trHeight w:val="114"/>
        </w:trPr>
        <w:tc>
          <w:tcPr>
            <w:tcW w:w="2280" w:type="dxa"/>
          </w:tcPr>
          <w:p w14:paraId="4F9179B2" w14:textId="77777777" w:rsidR="0068148D" w:rsidRDefault="0068148D" w:rsidP="0068148D">
            <w:pPr>
              <w:pStyle w:val="NoSpacing"/>
            </w:pPr>
            <w:r w:rsidRPr="0068658E">
              <w:t>1.2. Percentage compliance of Pantawid Pamilya households on school enrolment of children</w:t>
            </w:r>
          </w:p>
        </w:tc>
        <w:tc>
          <w:tcPr>
            <w:tcW w:w="1543" w:type="dxa"/>
          </w:tcPr>
          <w:p w14:paraId="1AF67F8D" w14:textId="77777777" w:rsidR="0068148D" w:rsidRPr="00356193" w:rsidRDefault="007146C4" w:rsidP="007146C4">
            <w:pPr>
              <w:pStyle w:val="NoSpacing"/>
              <w:jc w:val="center"/>
            </w:pPr>
            <w:r w:rsidRPr="00356193">
              <w:t>95%</w:t>
            </w:r>
          </w:p>
        </w:tc>
        <w:tc>
          <w:tcPr>
            <w:tcW w:w="1701" w:type="dxa"/>
          </w:tcPr>
          <w:p w14:paraId="7D880E8C" w14:textId="77777777" w:rsidR="0068148D" w:rsidRPr="00356193" w:rsidRDefault="007146C4" w:rsidP="007146C4">
            <w:pPr>
              <w:pStyle w:val="NoSpacing"/>
              <w:jc w:val="center"/>
            </w:pPr>
            <w:r w:rsidRPr="00356193">
              <w:t>98.46</w:t>
            </w:r>
          </w:p>
        </w:tc>
        <w:tc>
          <w:tcPr>
            <w:tcW w:w="1275" w:type="dxa"/>
          </w:tcPr>
          <w:p w14:paraId="67A31841" w14:textId="77777777" w:rsidR="0068148D" w:rsidRDefault="007146C4" w:rsidP="007146C4">
            <w:pPr>
              <w:pStyle w:val="NoSpacing"/>
              <w:jc w:val="center"/>
            </w:pPr>
            <w:r>
              <w:t>3.46%</w:t>
            </w:r>
          </w:p>
        </w:tc>
        <w:tc>
          <w:tcPr>
            <w:tcW w:w="1276" w:type="dxa"/>
          </w:tcPr>
          <w:p w14:paraId="76E65824" w14:textId="77777777" w:rsidR="0068148D" w:rsidRDefault="007146C4" w:rsidP="007146C4">
            <w:pPr>
              <w:pStyle w:val="NoSpacing"/>
              <w:jc w:val="center"/>
            </w:pPr>
            <w:r>
              <w:t>Full Target Achieved</w:t>
            </w:r>
          </w:p>
        </w:tc>
        <w:tc>
          <w:tcPr>
            <w:tcW w:w="2290" w:type="dxa"/>
          </w:tcPr>
          <w:p w14:paraId="7DD057CF" w14:textId="77777777" w:rsidR="0068148D" w:rsidRDefault="007146C4" w:rsidP="0068148D">
            <w:pPr>
              <w:pStyle w:val="NoSpacing"/>
              <w:jc w:val="both"/>
            </w:pPr>
            <w:r w:rsidRPr="007146C4">
              <w:t>Based on compliance with education conditionality of monitored child beneficiaries from Pre-School to Senior High School in both the MCCT and RCCT (P1 2022)</w:t>
            </w:r>
          </w:p>
        </w:tc>
      </w:tr>
      <w:tr w:rsidR="0068148D" w14:paraId="1612AF75" w14:textId="77777777" w:rsidTr="00253CF4">
        <w:trPr>
          <w:trHeight w:val="114"/>
        </w:trPr>
        <w:tc>
          <w:tcPr>
            <w:tcW w:w="2280" w:type="dxa"/>
          </w:tcPr>
          <w:p w14:paraId="01F58035" w14:textId="77777777" w:rsidR="0068148D" w:rsidRPr="00B42E7B" w:rsidRDefault="0068148D" w:rsidP="0068148D">
            <w:pPr>
              <w:pStyle w:val="NoSpacing"/>
            </w:pPr>
            <w:r w:rsidRPr="00B42E7B">
              <w:t>1.3. Percentage compliance of Pantawid Pamilya households on availment of health services</w:t>
            </w:r>
          </w:p>
        </w:tc>
        <w:tc>
          <w:tcPr>
            <w:tcW w:w="1543" w:type="dxa"/>
          </w:tcPr>
          <w:p w14:paraId="424422DB" w14:textId="77777777" w:rsidR="0068148D" w:rsidRPr="00B42E7B" w:rsidRDefault="007146C4" w:rsidP="007146C4">
            <w:pPr>
              <w:pStyle w:val="NoSpacing"/>
              <w:jc w:val="center"/>
            </w:pPr>
            <w:r>
              <w:t>95%</w:t>
            </w:r>
          </w:p>
        </w:tc>
        <w:tc>
          <w:tcPr>
            <w:tcW w:w="1701" w:type="dxa"/>
          </w:tcPr>
          <w:p w14:paraId="4AFA0ED7" w14:textId="77777777" w:rsidR="0068148D" w:rsidRPr="00B42E7B" w:rsidRDefault="007146C4" w:rsidP="007146C4">
            <w:pPr>
              <w:pStyle w:val="NoSpacing"/>
              <w:jc w:val="center"/>
            </w:pPr>
            <w:r>
              <w:t>98.99</w:t>
            </w:r>
          </w:p>
        </w:tc>
        <w:tc>
          <w:tcPr>
            <w:tcW w:w="1275" w:type="dxa"/>
          </w:tcPr>
          <w:p w14:paraId="7618326E" w14:textId="77777777" w:rsidR="0068148D" w:rsidRPr="00B42E7B" w:rsidRDefault="007146C4" w:rsidP="007146C4">
            <w:pPr>
              <w:pStyle w:val="NoSpacing"/>
              <w:jc w:val="center"/>
            </w:pPr>
            <w:r>
              <w:t>3.96%</w:t>
            </w:r>
          </w:p>
        </w:tc>
        <w:tc>
          <w:tcPr>
            <w:tcW w:w="1276" w:type="dxa"/>
          </w:tcPr>
          <w:p w14:paraId="1953AE7C" w14:textId="77777777" w:rsidR="0068148D" w:rsidRPr="00B42E7B" w:rsidRDefault="007146C4" w:rsidP="007146C4">
            <w:pPr>
              <w:pStyle w:val="NoSpacing"/>
              <w:jc w:val="center"/>
            </w:pPr>
            <w:r>
              <w:t>Full Target Achieved</w:t>
            </w:r>
          </w:p>
        </w:tc>
        <w:tc>
          <w:tcPr>
            <w:tcW w:w="2290" w:type="dxa"/>
          </w:tcPr>
          <w:p w14:paraId="3A597CBA" w14:textId="77777777" w:rsidR="0068148D" w:rsidRPr="007146C4" w:rsidRDefault="007146C4" w:rsidP="0068148D">
            <w:pPr>
              <w:pStyle w:val="NoSpacing"/>
            </w:pPr>
            <w:r w:rsidRPr="007146C4">
              <w:rPr>
                <w:color w:val="000000"/>
                <w:shd w:val="clear" w:color="auto" w:fill="FFFFFF"/>
              </w:rPr>
              <w:t>Based on compliance with health conditionality of monitored child beneficiaries/pregnant women in both the MCCT and RCCT. (P1 2022)</w:t>
            </w:r>
          </w:p>
        </w:tc>
      </w:tr>
      <w:tr w:rsidR="0068148D" w:rsidRPr="00B42E7B" w14:paraId="10F4DB8E" w14:textId="77777777" w:rsidTr="00253CF4">
        <w:trPr>
          <w:trHeight w:val="1408"/>
        </w:trPr>
        <w:tc>
          <w:tcPr>
            <w:tcW w:w="2280" w:type="dxa"/>
          </w:tcPr>
          <w:p w14:paraId="65E1E4B5" w14:textId="77777777" w:rsidR="0068148D" w:rsidRPr="00B42E7B" w:rsidRDefault="00C453BE" w:rsidP="0068148D">
            <w:pPr>
              <w:pStyle w:val="NoSpacing"/>
            </w:pPr>
            <w:r>
              <w:t>1.4</w:t>
            </w:r>
            <w:r w:rsidR="0068148D" w:rsidRPr="00B42E7B">
              <w:t xml:space="preserve">. </w:t>
            </w:r>
            <w:r w:rsidRPr="00C453BE">
              <w:rPr>
                <w:color w:val="000000"/>
                <w:shd w:val="clear" w:color="auto" w:fill="FFFFFF"/>
              </w:rPr>
              <w:t>Percentage of Pantawid Pamilya children not attending school that returned to school</w:t>
            </w:r>
          </w:p>
        </w:tc>
        <w:tc>
          <w:tcPr>
            <w:tcW w:w="1543" w:type="dxa"/>
          </w:tcPr>
          <w:p w14:paraId="260FDF5A" w14:textId="77777777" w:rsidR="0068148D" w:rsidRPr="00B42E7B" w:rsidRDefault="00C453BE" w:rsidP="007146C4">
            <w:pPr>
              <w:pStyle w:val="NoSpacing"/>
              <w:jc w:val="center"/>
            </w:pPr>
            <w:r>
              <w:t>TBD</w:t>
            </w:r>
          </w:p>
        </w:tc>
        <w:tc>
          <w:tcPr>
            <w:tcW w:w="1701" w:type="dxa"/>
          </w:tcPr>
          <w:p w14:paraId="49F8533D" w14:textId="77777777" w:rsidR="0068148D" w:rsidRPr="00B42E7B" w:rsidRDefault="00C453BE" w:rsidP="0068148D">
            <w:pPr>
              <w:pStyle w:val="NoSpacing"/>
              <w:jc w:val="center"/>
            </w:pPr>
            <w:r>
              <w:t>0</w:t>
            </w:r>
          </w:p>
        </w:tc>
        <w:tc>
          <w:tcPr>
            <w:tcW w:w="1275" w:type="dxa"/>
          </w:tcPr>
          <w:p w14:paraId="569E394E" w14:textId="77777777" w:rsidR="0068148D" w:rsidRPr="00B42E7B" w:rsidRDefault="00356193" w:rsidP="0068148D">
            <w:pPr>
              <w:pStyle w:val="NoSpacing"/>
              <w:jc w:val="center"/>
            </w:pPr>
            <w:r>
              <w:t>0</w:t>
            </w:r>
          </w:p>
        </w:tc>
        <w:tc>
          <w:tcPr>
            <w:tcW w:w="1276" w:type="dxa"/>
          </w:tcPr>
          <w:p w14:paraId="0F093FA1" w14:textId="77777777" w:rsidR="0068148D" w:rsidRPr="00B42E7B" w:rsidRDefault="00C453BE" w:rsidP="0068148D">
            <w:pPr>
              <w:pStyle w:val="NoSpacing"/>
              <w:jc w:val="center"/>
            </w:pPr>
            <w:r>
              <w:t>TBD</w:t>
            </w:r>
          </w:p>
        </w:tc>
        <w:tc>
          <w:tcPr>
            <w:tcW w:w="2290" w:type="dxa"/>
          </w:tcPr>
          <w:p w14:paraId="70DAB23E" w14:textId="77777777" w:rsidR="0068148D" w:rsidRPr="002C6C89" w:rsidRDefault="00C453BE" w:rsidP="0068148D">
            <w:pPr>
              <w:pStyle w:val="NoSpacing"/>
            </w:pPr>
            <w:r w:rsidRPr="002C6C89">
              <w:rPr>
                <w:color w:val="000000"/>
                <w:shd w:val="clear" w:color="auto" w:fill="FFFFFF"/>
              </w:rPr>
              <w:t>NPMO is still identifying regional targets</w:t>
            </w:r>
          </w:p>
        </w:tc>
      </w:tr>
      <w:tr w:rsidR="002C6C89" w:rsidRPr="00B42E7B" w14:paraId="765BC0DB" w14:textId="77777777" w:rsidTr="00253CF4">
        <w:trPr>
          <w:trHeight w:val="1456"/>
        </w:trPr>
        <w:tc>
          <w:tcPr>
            <w:tcW w:w="2280" w:type="dxa"/>
          </w:tcPr>
          <w:p w14:paraId="1C9780C6" w14:textId="77777777" w:rsidR="002C6C89" w:rsidRPr="00B42E7B" w:rsidRDefault="002C6C89" w:rsidP="002C6C89">
            <w:pPr>
              <w:pStyle w:val="NoSpacing"/>
            </w:pPr>
            <w:r w:rsidRPr="00B42E7B">
              <w:t>1.5. Percentage of Pantawid Pamilya households not availing key health services that availed key health services</w:t>
            </w:r>
          </w:p>
        </w:tc>
        <w:tc>
          <w:tcPr>
            <w:tcW w:w="1543" w:type="dxa"/>
          </w:tcPr>
          <w:p w14:paraId="7B33E984" w14:textId="77777777" w:rsidR="002C6C89" w:rsidRPr="00B42E7B" w:rsidRDefault="002C6C89" w:rsidP="002C6C89">
            <w:pPr>
              <w:pStyle w:val="NoSpacing"/>
              <w:jc w:val="center"/>
            </w:pPr>
            <w:r>
              <w:t>TBD</w:t>
            </w:r>
          </w:p>
        </w:tc>
        <w:tc>
          <w:tcPr>
            <w:tcW w:w="1701" w:type="dxa"/>
          </w:tcPr>
          <w:p w14:paraId="119278FF" w14:textId="77777777" w:rsidR="002C6C89" w:rsidRPr="00B42E7B" w:rsidRDefault="002C6C89" w:rsidP="002C6C89">
            <w:pPr>
              <w:pStyle w:val="NoSpacing"/>
              <w:jc w:val="center"/>
            </w:pPr>
            <w:r>
              <w:t>0</w:t>
            </w:r>
          </w:p>
        </w:tc>
        <w:tc>
          <w:tcPr>
            <w:tcW w:w="1275" w:type="dxa"/>
          </w:tcPr>
          <w:p w14:paraId="3B3894D8" w14:textId="77777777" w:rsidR="002C6C89" w:rsidRPr="00B42E7B" w:rsidRDefault="00356193" w:rsidP="002C6C89">
            <w:pPr>
              <w:pStyle w:val="NoSpacing"/>
              <w:jc w:val="center"/>
            </w:pPr>
            <w:r>
              <w:t>0</w:t>
            </w:r>
          </w:p>
        </w:tc>
        <w:tc>
          <w:tcPr>
            <w:tcW w:w="1276" w:type="dxa"/>
          </w:tcPr>
          <w:p w14:paraId="04B303E1" w14:textId="77777777" w:rsidR="002C6C89" w:rsidRPr="00B42E7B" w:rsidRDefault="002C6C89" w:rsidP="002C6C89">
            <w:pPr>
              <w:pStyle w:val="NoSpacing"/>
              <w:jc w:val="center"/>
            </w:pPr>
            <w:r>
              <w:t>TBD</w:t>
            </w:r>
          </w:p>
        </w:tc>
        <w:tc>
          <w:tcPr>
            <w:tcW w:w="2290" w:type="dxa"/>
          </w:tcPr>
          <w:p w14:paraId="62A8874F" w14:textId="77777777" w:rsidR="002C6C89" w:rsidRPr="002C6C89" w:rsidRDefault="002C6C89" w:rsidP="002C6C89">
            <w:pPr>
              <w:pStyle w:val="NoSpacing"/>
            </w:pPr>
            <w:r w:rsidRPr="002C6C89">
              <w:rPr>
                <w:color w:val="000000"/>
                <w:shd w:val="clear" w:color="auto" w:fill="FFFFFF"/>
              </w:rPr>
              <w:t>NPMO is still identifying regional targets</w:t>
            </w:r>
          </w:p>
        </w:tc>
      </w:tr>
      <w:tr w:rsidR="0068148D" w:rsidRPr="00B42E7B" w14:paraId="30CD0C8A" w14:textId="77777777" w:rsidTr="0068148D">
        <w:trPr>
          <w:trHeight w:val="282"/>
        </w:trPr>
        <w:tc>
          <w:tcPr>
            <w:tcW w:w="10365" w:type="dxa"/>
            <w:gridSpan w:val="6"/>
            <w:shd w:val="clear" w:color="auto" w:fill="DEEAF6" w:themeFill="accent1" w:themeFillTint="33"/>
          </w:tcPr>
          <w:p w14:paraId="390285A0" w14:textId="77777777" w:rsidR="0068148D" w:rsidRPr="005C1DBB" w:rsidRDefault="0068148D" w:rsidP="0068148D">
            <w:pPr>
              <w:pStyle w:val="NoSpacing"/>
              <w:rPr>
                <w:b/>
              </w:rPr>
            </w:pPr>
            <w:r w:rsidRPr="005C1DBB">
              <w:rPr>
                <w:b/>
              </w:rPr>
              <w:t>Sustainable Livelihood Program</w:t>
            </w:r>
          </w:p>
        </w:tc>
      </w:tr>
      <w:tr w:rsidR="0068148D" w:rsidRPr="00B42E7B" w14:paraId="1DB639BD" w14:textId="77777777" w:rsidTr="00356193">
        <w:trPr>
          <w:trHeight w:val="1379"/>
        </w:trPr>
        <w:tc>
          <w:tcPr>
            <w:tcW w:w="2280" w:type="dxa"/>
          </w:tcPr>
          <w:p w14:paraId="4566D390" w14:textId="77777777" w:rsidR="0068148D" w:rsidRPr="00B42E7B" w:rsidRDefault="0068148D" w:rsidP="0068148D">
            <w:pPr>
              <w:pStyle w:val="NoSpacing"/>
            </w:pPr>
            <w:r w:rsidRPr="00EC34AD">
              <w:t>1.6. Percentage of SLP households  involved in micro-enterprise</w:t>
            </w:r>
          </w:p>
        </w:tc>
        <w:tc>
          <w:tcPr>
            <w:tcW w:w="1543" w:type="dxa"/>
          </w:tcPr>
          <w:p w14:paraId="14CF1574" w14:textId="77777777" w:rsidR="0068148D" w:rsidRDefault="002C6C89" w:rsidP="002C6C89">
            <w:pPr>
              <w:spacing w:line="360" w:lineRule="auto"/>
              <w:ind w:left="-180"/>
              <w:jc w:val="center"/>
              <w:rPr>
                <w:color w:val="000000" w:themeColor="text1"/>
              </w:rPr>
            </w:pPr>
            <w:r>
              <w:rPr>
                <w:color w:val="000000" w:themeColor="text1"/>
              </w:rPr>
              <w:t>100%</w:t>
            </w:r>
          </w:p>
        </w:tc>
        <w:tc>
          <w:tcPr>
            <w:tcW w:w="1701" w:type="dxa"/>
          </w:tcPr>
          <w:p w14:paraId="6776CA52" w14:textId="77777777" w:rsidR="0068148D" w:rsidRPr="00EC34AD" w:rsidRDefault="002C6C89" w:rsidP="0068148D">
            <w:pPr>
              <w:spacing w:before="240"/>
              <w:ind w:left="-180"/>
              <w:jc w:val="center"/>
              <w:rPr>
                <w:color w:val="000000" w:themeColor="text1"/>
              </w:rPr>
            </w:pPr>
            <w:r>
              <w:rPr>
                <w:color w:val="000000" w:themeColor="text1"/>
              </w:rPr>
              <w:t>4.44</w:t>
            </w:r>
          </w:p>
        </w:tc>
        <w:tc>
          <w:tcPr>
            <w:tcW w:w="1275" w:type="dxa"/>
          </w:tcPr>
          <w:p w14:paraId="533C9B0F" w14:textId="77777777" w:rsidR="0068148D" w:rsidRDefault="002C6C89" w:rsidP="0068148D">
            <w:pPr>
              <w:spacing w:line="360" w:lineRule="auto"/>
              <w:ind w:left="-180"/>
              <w:jc w:val="center"/>
              <w:rPr>
                <w:color w:val="000000" w:themeColor="text1"/>
              </w:rPr>
            </w:pPr>
            <w:r>
              <w:rPr>
                <w:color w:val="000000" w:themeColor="text1"/>
              </w:rPr>
              <w:t>95.56%</w:t>
            </w:r>
          </w:p>
        </w:tc>
        <w:tc>
          <w:tcPr>
            <w:tcW w:w="1276" w:type="dxa"/>
          </w:tcPr>
          <w:p w14:paraId="57155E2C" w14:textId="77777777" w:rsidR="0068148D" w:rsidRPr="00EC34AD" w:rsidRDefault="002C6C89" w:rsidP="0068148D">
            <w:pPr>
              <w:pStyle w:val="NoSpacing"/>
            </w:pPr>
            <w:r>
              <w:t>Major Deviation</w:t>
            </w:r>
          </w:p>
        </w:tc>
        <w:tc>
          <w:tcPr>
            <w:tcW w:w="2290" w:type="dxa"/>
          </w:tcPr>
          <w:p w14:paraId="69CAA203" w14:textId="77777777" w:rsidR="0068148D" w:rsidRPr="00B42E7B" w:rsidRDefault="002C6C89" w:rsidP="00356193">
            <w:pPr>
              <w:jc w:val="both"/>
            </w:pPr>
            <w:r>
              <w:t>The program is currently conducting social preparatory activities for the targeted participants</w:t>
            </w:r>
          </w:p>
        </w:tc>
      </w:tr>
      <w:tr w:rsidR="0068148D" w:rsidRPr="00B42E7B" w14:paraId="15974DC3" w14:textId="77777777" w:rsidTr="00253CF4">
        <w:trPr>
          <w:trHeight w:val="770"/>
        </w:trPr>
        <w:tc>
          <w:tcPr>
            <w:tcW w:w="2280" w:type="dxa"/>
          </w:tcPr>
          <w:p w14:paraId="72D1C9AB" w14:textId="77777777" w:rsidR="0068148D" w:rsidRPr="009C0156" w:rsidRDefault="0068148D" w:rsidP="0068148D">
            <w:pPr>
              <w:pStyle w:val="NoSpacing"/>
            </w:pPr>
            <w:r w:rsidRPr="0056418B">
              <w:rPr>
                <w:iCs/>
                <w:color w:val="000000"/>
                <w:szCs w:val="20"/>
                <w:shd w:val="clear" w:color="auto" w:fill="FFFFFF"/>
              </w:rPr>
              <w:t>Total number of SLP participants equipped to engage in a Microenterprise</w:t>
            </w:r>
          </w:p>
        </w:tc>
        <w:tc>
          <w:tcPr>
            <w:tcW w:w="1543" w:type="dxa"/>
          </w:tcPr>
          <w:p w14:paraId="7532A64B" w14:textId="77777777" w:rsidR="0068148D" w:rsidRDefault="00D448F0" w:rsidP="00D448F0">
            <w:pPr>
              <w:pStyle w:val="NoSpacing"/>
              <w:jc w:val="center"/>
            </w:pPr>
            <w:r>
              <w:t>8,722</w:t>
            </w:r>
          </w:p>
        </w:tc>
        <w:tc>
          <w:tcPr>
            <w:tcW w:w="1701" w:type="dxa"/>
          </w:tcPr>
          <w:p w14:paraId="33229125" w14:textId="77777777" w:rsidR="0068148D" w:rsidRPr="00EC34AD" w:rsidRDefault="00D448F0" w:rsidP="0068148D">
            <w:pPr>
              <w:pStyle w:val="NoSpacing"/>
              <w:jc w:val="center"/>
            </w:pPr>
            <w:r>
              <w:t>387</w:t>
            </w:r>
          </w:p>
        </w:tc>
        <w:tc>
          <w:tcPr>
            <w:tcW w:w="1275" w:type="dxa"/>
          </w:tcPr>
          <w:p w14:paraId="502702B2" w14:textId="77777777" w:rsidR="0068148D" w:rsidRDefault="00D448F0" w:rsidP="0068148D">
            <w:pPr>
              <w:spacing w:line="360" w:lineRule="auto"/>
              <w:ind w:left="-180"/>
              <w:jc w:val="center"/>
              <w:rPr>
                <w:color w:val="000000" w:themeColor="text1"/>
              </w:rPr>
            </w:pPr>
            <w:r>
              <w:rPr>
                <w:color w:val="000000" w:themeColor="text1"/>
              </w:rPr>
              <w:t>8,335</w:t>
            </w:r>
          </w:p>
        </w:tc>
        <w:tc>
          <w:tcPr>
            <w:tcW w:w="1276" w:type="dxa"/>
          </w:tcPr>
          <w:p w14:paraId="039F40BB" w14:textId="77777777" w:rsidR="00A04702" w:rsidRDefault="00A04702" w:rsidP="0068148D">
            <w:pPr>
              <w:pStyle w:val="NoSpacing"/>
            </w:pPr>
            <w:r>
              <w:t>Major</w:t>
            </w:r>
          </w:p>
          <w:p w14:paraId="0F830627" w14:textId="77777777" w:rsidR="0068148D" w:rsidRPr="00EC34AD" w:rsidRDefault="00D448F0" w:rsidP="0068148D">
            <w:pPr>
              <w:pStyle w:val="NoSpacing"/>
            </w:pPr>
            <w:r>
              <w:t>Deviation</w:t>
            </w:r>
          </w:p>
        </w:tc>
        <w:tc>
          <w:tcPr>
            <w:tcW w:w="2290" w:type="dxa"/>
          </w:tcPr>
          <w:p w14:paraId="308FACD5" w14:textId="77777777" w:rsidR="00D448F0" w:rsidRDefault="00D448F0" w:rsidP="00D448F0">
            <w:pPr>
              <w:jc w:val="both"/>
            </w:pPr>
            <w:r>
              <w:t xml:space="preserve">From 944 served beneficiaries, 387 </w:t>
            </w:r>
            <w:r w:rsidR="00B13A43">
              <w:t xml:space="preserve">were </w:t>
            </w:r>
            <w:r>
              <w:t xml:space="preserve">successfully monitored to have established micro-enterprises. This is attributed on the schedule of </w:t>
            </w:r>
            <w:r>
              <w:lastRenderedPageBreak/>
              <w:t>monitoring as this will commence within 30 days after the receipt of grants. Full blast of monitoring to determine the establishment of projects to served beneficiaries will be conducted this July 2022 as most of the pay-out was just conducted in June 2022.</w:t>
            </w:r>
          </w:p>
          <w:p w14:paraId="12E636BB" w14:textId="77777777" w:rsidR="00D448F0" w:rsidRDefault="00D448F0" w:rsidP="00D448F0">
            <w:pPr>
              <w:jc w:val="both"/>
            </w:pPr>
          </w:p>
          <w:p w14:paraId="24CE6520" w14:textId="77777777" w:rsidR="0068148D" w:rsidRDefault="00D448F0" w:rsidP="00D448F0">
            <w:pPr>
              <w:jc w:val="both"/>
            </w:pPr>
            <w:r>
              <w:t>On the other hand, other variances are those targets under EO 70, OP Referrals and Zero Hunger which will still be implemented this 3rd quarter.</w:t>
            </w:r>
          </w:p>
          <w:p w14:paraId="1D0A3127" w14:textId="77777777" w:rsidR="00D448F0" w:rsidRDefault="00D448F0" w:rsidP="00D448F0">
            <w:pPr>
              <w:jc w:val="both"/>
            </w:pPr>
          </w:p>
          <w:p w14:paraId="2B0C654F" w14:textId="77777777" w:rsidR="00D448F0" w:rsidRPr="00D448F0" w:rsidRDefault="00D448F0" w:rsidP="00D448F0">
            <w:pPr>
              <w:jc w:val="both"/>
            </w:pPr>
            <w:r w:rsidRPr="00D448F0">
              <w:rPr>
                <w:color w:val="000000"/>
                <w:shd w:val="clear" w:color="auto" w:fill="FFFFFF"/>
              </w:rPr>
              <w:t>Simultaneous conduct of Fund Utilization Monitoring to served beneficiaries within 30 days after the receipt of grants.</w:t>
            </w:r>
          </w:p>
        </w:tc>
      </w:tr>
      <w:tr w:rsidR="0068148D" w:rsidRPr="00B42E7B" w14:paraId="3B90D9EB" w14:textId="77777777" w:rsidTr="00253CF4">
        <w:trPr>
          <w:trHeight w:val="813"/>
        </w:trPr>
        <w:tc>
          <w:tcPr>
            <w:tcW w:w="2280" w:type="dxa"/>
          </w:tcPr>
          <w:p w14:paraId="688EDEF2" w14:textId="77777777" w:rsidR="0068148D" w:rsidRPr="00EC34AD" w:rsidRDefault="0068148D" w:rsidP="0068148D">
            <w:pPr>
              <w:pStyle w:val="NoSpacing"/>
              <w:rPr>
                <w:color w:val="000000" w:themeColor="text1"/>
              </w:rPr>
            </w:pPr>
            <w:r>
              <w:rPr>
                <w:shd w:val="clear" w:color="auto" w:fill="FFFFFF"/>
              </w:rPr>
              <w:lastRenderedPageBreak/>
              <w:t>No. of SLP Participants involved in microenterprise</w:t>
            </w:r>
          </w:p>
        </w:tc>
        <w:tc>
          <w:tcPr>
            <w:tcW w:w="1543" w:type="dxa"/>
          </w:tcPr>
          <w:p w14:paraId="4C0BD117" w14:textId="77777777" w:rsidR="0068148D" w:rsidRDefault="00A04702" w:rsidP="0068148D">
            <w:pPr>
              <w:pStyle w:val="NoSpacing"/>
              <w:jc w:val="right"/>
              <w:rPr>
                <w:color w:val="000000" w:themeColor="text1"/>
              </w:rPr>
            </w:pPr>
            <w:r>
              <w:rPr>
                <w:color w:val="000000" w:themeColor="text1"/>
              </w:rPr>
              <w:t>8,722</w:t>
            </w:r>
          </w:p>
        </w:tc>
        <w:tc>
          <w:tcPr>
            <w:tcW w:w="1701" w:type="dxa"/>
          </w:tcPr>
          <w:p w14:paraId="7C613DC3" w14:textId="77777777" w:rsidR="0068148D" w:rsidRPr="00EC34AD" w:rsidRDefault="00A04702" w:rsidP="0068148D">
            <w:pPr>
              <w:pStyle w:val="NoSpacing"/>
              <w:jc w:val="center"/>
              <w:rPr>
                <w:color w:val="000000" w:themeColor="text1"/>
              </w:rPr>
            </w:pPr>
            <w:r>
              <w:rPr>
                <w:color w:val="000000" w:themeColor="text1"/>
              </w:rPr>
              <w:t>387</w:t>
            </w:r>
          </w:p>
        </w:tc>
        <w:tc>
          <w:tcPr>
            <w:tcW w:w="1275" w:type="dxa"/>
          </w:tcPr>
          <w:p w14:paraId="398B5CF3" w14:textId="77777777" w:rsidR="0068148D" w:rsidRDefault="00A04702" w:rsidP="0068148D">
            <w:pPr>
              <w:pStyle w:val="NoSpacing"/>
              <w:jc w:val="center"/>
              <w:rPr>
                <w:color w:val="000000" w:themeColor="text1"/>
              </w:rPr>
            </w:pPr>
            <w:r>
              <w:rPr>
                <w:color w:val="000000" w:themeColor="text1"/>
              </w:rPr>
              <w:t>8,335</w:t>
            </w:r>
          </w:p>
        </w:tc>
        <w:tc>
          <w:tcPr>
            <w:tcW w:w="1276" w:type="dxa"/>
          </w:tcPr>
          <w:p w14:paraId="32799A8A" w14:textId="77777777" w:rsidR="0068148D" w:rsidRPr="00EC34AD" w:rsidRDefault="00A04702" w:rsidP="0068148D">
            <w:pPr>
              <w:pStyle w:val="NoSpacing"/>
            </w:pPr>
            <w:r>
              <w:t>Major Deviation</w:t>
            </w:r>
          </w:p>
        </w:tc>
        <w:tc>
          <w:tcPr>
            <w:tcW w:w="2290" w:type="dxa"/>
          </w:tcPr>
          <w:p w14:paraId="7E2A65D0" w14:textId="77777777" w:rsidR="0068148D" w:rsidRPr="00B42E7B" w:rsidRDefault="00A04702" w:rsidP="0068148D">
            <w:pPr>
              <w:pStyle w:val="NoSpacing"/>
            </w:pPr>
            <w:r>
              <w:t>Same as above</w:t>
            </w:r>
          </w:p>
        </w:tc>
      </w:tr>
      <w:tr w:rsidR="0068148D" w:rsidRPr="00B42E7B" w14:paraId="31A9C635" w14:textId="77777777" w:rsidTr="00253CF4">
        <w:trPr>
          <w:trHeight w:val="2235"/>
        </w:trPr>
        <w:tc>
          <w:tcPr>
            <w:tcW w:w="2280" w:type="dxa"/>
          </w:tcPr>
          <w:p w14:paraId="3F04E1DD" w14:textId="77777777" w:rsidR="0068148D" w:rsidRPr="00B42E7B" w:rsidRDefault="0068148D" w:rsidP="0068148D">
            <w:pPr>
              <w:pStyle w:val="NoSpacing"/>
              <w:rPr>
                <w:highlight w:val="white"/>
              </w:rPr>
            </w:pPr>
            <w:r w:rsidRPr="00B42E7B">
              <w:t xml:space="preserve">1.7. </w:t>
            </w:r>
            <w:r w:rsidRPr="00B42E7B">
              <w:rPr>
                <w:highlight w:val="white"/>
              </w:rPr>
              <w:t>Percentage of SLP participants employed</w:t>
            </w:r>
          </w:p>
          <w:p w14:paraId="3959BECA" w14:textId="77777777" w:rsidR="0068148D" w:rsidRPr="00B42E7B" w:rsidRDefault="0068148D" w:rsidP="0068148D">
            <w:pPr>
              <w:pStyle w:val="NoSpacing"/>
              <w:rPr>
                <w:i/>
                <w:highlight w:val="white"/>
              </w:rPr>
            </w:pPr>
            <w:r w:rsidRPr="00B42E7B">
              <w:rPr>
                <w:i/>
                <w:highlight w:val="white"/>
              </w:rPr>
              <w:t>Total number of SLP participants equipped to be employed</w:t>
            </w:r>
          </w:p>
          <w:p w14:paraId="42F92D9D" w14:textId="77777777" w:rsidR="0068148D" w:rsidRPr="00B42E7B" w:rsidRDefault="0068148D" w:rsidP="0068148D">
            <w:pPr>
              <w:pStyle w:val="NoSpacing"/>
              <w:rPr>
                <w:i/>
                <w:highlight w:val="white"/>
              </w:rPr>
            </w:pPr>
            <w:r w:rsidRPr="00B42E7B">
              <w:rPr>
                <w:i/>
                <w:highlight w:val="white"/>
              </w:rPr>
              <w:t>No.of SLP Households Employed</w:t>
            </w:r>
          </w:p>
        </w:tc>
        <w:tc>
          <w:tcPr>
            <w:tcW w:w="1543" w:type="dxa"/>
          </w:tcPr>
          <w:p w14:paraId="6C57BEE4" w14:textId="77777777" w:rsidR="0068148D" w:rsidRPr="00B42E7B" w:rsidRDefault="00A04702" w:rsidP="0068148D">
            <w:pPr>
              <w:pStyle w:val="NoSpacing"/>
            </w:pPr>
            <w:r>
              <w:t>N/A</w:t>
            </w:r>
          </w:p>
        </w:tc>
        <w:tc>
          <w:tcPr>
            <w:tcW w:w="1701" w:type="dxa"/>
          </w:tcPr>
          <w:p w14:paraId="7D432F61" w14:textId="77777777" w:rsidR="0068148D" w:rsidRPr="00B42E7B" w:rsidRDefault="00A04702" w:rsidP="0068148D">
            <w:pPr>
              <w:pStyle w:val="NoSpacing"/>
            </w:pPr>
            <w:r>
              <w:t>N/A</w:t>
            </w:r>
          </w:p>
        </w:tc>
        <w:tc>
          <w:tcPr>
            <w:tcW w:w="1275" w:type="dxa"/>
          </w:tcPr>
          <w:p w14:paraId="157D9480" w14:textId="77777777" w:rsidR="0068148D" w:rsidRPr="00B42E7B" w:rsidRDefault="00A04702" w:rsidP="0068148D">
            <w:pPr>
              <w:pStyle w:val="NoSpacing"/>
            </w:pPr>
            <w:r>
              <w:t>N/A</w:t>
            </w:r>
          </w:p>
        </w:tc>
        <w:tc>
          <w:tcPr>
            <w:tcW w:w="1276" w:type="dxa"/>
          </w:tcPr>
          <w:p w14:paraId="0DB6BA82" w14:textId="77777777" w:rsidR="0068148D" w:rsidRPr="00B42E7B" w:rsidRDefault="0068148D" w:rsidP="0068148D">
            <w:pPr>
              <w:pStyle w:val="NoSpacing"/>
            </w:pPr>
          </w:p>
        </w:tc>
        <w:tc>
          <w:tcPr>
            <w:tcW w:w="2290" w:type="dxa"/>
          </w:tcPr>
          <w:p w14:paraId="361DD60F" w14:textId="77777777" w:rsidR="0068148D" w:rsidRPr="00B42E7B" w:rsidRDefault="0068148D" w:rsidP="0068148D">
            <w:pPr>
              <w:pStyle w:val="NoSpacing"/>
            </w:pPr>
          </w:p>
        </w:tc>
      </w:tr>
      <w:tr w:rsidR="0068148D" w:rsidRPr="00B42E7B" w14:paraId="699F13E6" w14:textId="77777777" w:rsidTr="00253CF4">
        <w:trPr>
          <w:trHeight w:val="1677"/>
        </w:trPr>
        <w:tc>
          <w:tcPr>
            <w:tcW w:w="2280" w:type="dxa"/>
          </w:tcPr>
          <w:p w14:paraId="5925A10A" w14:textId="77777777" w:rsidR="0068148D" w:rsidRPr="00B42E7B" w:rsidRDefault="0068148D" w:rsidP="0068148D">
            <w:pPr>
              <w:pStyle w:val="NoSpacing"/>
            </w:pPr>
            <w:r w:rsidRPr="00B42E7B">
              <w:t xml:space="preserve">1.8. </w:t>
            </w:r>
            <w:r w:rsidRPr="00B42E7B">
              <w:rPr>
                <w:highlight w:val="white"/>
              </w:rPr>
              <w:t>Percentage of completed KC-NCDDP projects that have satisfactory or better sustainability evaluation rating</w:t>
            </w:r>
          </w:p>
        </w:tc>
        <w:tc>
          <w:tcPr>
            <w:tcW w:w="1543" w:type="dxa"/>
          </w:tcPr>
          <w:p w14:paraId="139FE8E8" w14:textId="77777777" w:rsidR="0068148D" w:rsidRPr="00B42E7B" w:rsidRDefault="00A04702" w:rsidP="0068148D">
            <w:pPr>
              <w:pStyle w:val="NoSpacing"/>
            </w:pPr>
            <w:r>
              <w:t>TBD</w:t>
            </w:r>
          </w:p>
        </w:tc>
        <w:tc>
          <w:tcPr>
            <w:tcW w:w="1701" w:type="dxa"/>
          </w:tcPr>
          <w:p w14:paraId="78B6D1D0" w14:textId="77777777" w:rsidR="0068148D" w:rsidRPr="00B42E7B" w:rsidRDefault="00A04702" w:rsidP="0068148D">
            <w:pPr>
              <w:pStyle w:val="NoSpacing"/>
            </w:pPr>
            <w:r>
              <w:t>TBD</w:t>
            </w:r>
          </w:p>
        </w:tc>
        <w:tc>
          <w:tcPr>
            <w:tcW w:w="1275" w:type="dxa"/>
          </w:tcPr>
          <w:p w14:paraId="189C07FC" w14:textId="77777777" w:rsidR="0068148D" w:rsidRPr="00B42E7B" w:rsidRDefault="00A04702" w:rsidP="0068148D">
            <w:pPr>
              <w:pStyle w:val="NoSpacing"/>
            </w:pPr>
            <w:r>
              <w:t>TBD</w:t>
            </w:r>
          </w:p>
        </w:tc>
        <w:tc>
          <w:tcPr>
            <w:tcW w:w="1276" w:type="dxa"/>
          </w:tcPr>
          <w:p w14:paraId="34EB05EB" w14:textId="77777777" w:rsidR="0068148D" w:rsidRPr="00B42E7B" w:rsidRDefault="0068148D" w:rsidP="0068148D">
            <w:pPr>
              <w:pStyle w:val="NoSpacing"/>
            </w:pPr>
          </w:p>
        </w:tc>
        <w:tc>
          <w:tcPr>
            <w:tcW w:w="2290" w:type="dxa"/>
          </w:tcPr>
          <w:p w14:paraId="374EEB21" w14:textId="77777777" w:rsidR="0068148D" w:rsidRPr="00B42E7B" w:rsidRDefault="0068148D" w:rsidP="0068148D">
            <w:pPr>
              <w:pStyle w:val="NoSpacing"/>
            </w:pPr>
          </w:p>
        </w:tc>
      </w:tr>
      <w:tr w:rsidR="0068148D" w:rsidRPr="00B42E7B" w14:paraId="0E6D1ECA" w14:textId="77777777" w:rsidTr="0068148D">
        <w:trPr>
          <w:trHeight w:val="135"/>
        </w:trPr>
        <w:tc>
          <w:tcPr>
            <w:tcW w:w="10365" w:type="dxa"/>
            <w:gridSpan w:val="6"/>
            <w:tcBorders>
              <w:top w:val="single" w:sz="4" w:space="0" w:color="auto"/>
            </w:tcBorders>
            <w:shd w:val="clear" w:color="auto" w:fill="FBE4D5" w:themeFill="accent2" w:themeFillTint="33"/>
          </w:tcPr>
          <w:p w14:paraId="16CB4044" w14:textId="77777777" w:rsidR="0068148D" w:rsidRPr="00265FD2" w:rsidRDefault="0068148D" w:rsidP="0068148D">
            <w:pPr>
              <w:pStyle w:val="NoSpacing"/>
              <w:rPr>
                <w:b/>
              </w:rPr>
            </w:pPr>
            <w:r w:rsidRPr="00265FD2">
              <w:rPr>
                <w:b/>
              </w:rPr>
              <w:t>Organizational Outcome 2. Rights of Poor and Vulnerable Protected</w:t>
            </w:r>
            <w:r w:rsidRPr="00265FD2">
              <w:rPr>
                <w:b/>
                <w:color w:val="000000" w:themeColor="text1"/>
              </w:rPr>
              <w:t xml:space="preserve">  </w:t>
            </w:r>
          </w:p>
        </w:tc>
      </w:tr>
      <w:tr w:rsidR="0068148D" w:rsidRPr="00B42E7B" w14:paraId="1DC022DE" w14:textId="77777777" w:rsidTr="0068148D">
        <w:trPr>
          <w:trHeight w:val="295"/>
        </w:trPr>
        <w:tc>
          <w:tcPr>
            <w:tcW w:w="10365" w:type="dxa"/>
            <w:gridSpan w:val="6"/>
          </w:tcPr>
          <w:p w14:paraId="0B42D3B3" w14:textId="77777777" w:rsidR="0068148D" w:rsidRPr="00265FD2" w:rsidRDefault="0068148D" w:rsidP="0068148D">
            <w:pPr>
              <w:pStyle w:val="NoSpacing"/>
              <w:rPr>
                <w:b/>
              </w:rPr>
            </w:pPr>
            <w:r w:rsidRPr="00B42E7B">
              <w:t xml:space="preserve"> </w:t>
            </w:r>
            <w:r w:rsidRPr="00265FD2">
              <w:rPr>
                <w:b/>
                <w:shd w:val="clear" w:color="auto" w:fill="DEEAF6" w:themeFill="accent1" w:themeFillTint="33"/>
              </w:rPr>
              <w:t>Residential  and Non-Residential Care Sub-Program</w:t>
            </w:r>
            <w:r w:rsidRPr="00265FD2">
              <w:rPr>
                <w:b/>
                <w:color w:val="000000" w:themeColor="text1"/>
              </w:rPr>
              <w:t xml:space="preserve"> </w:t>
            </w:r>
          </w:p>
        </w:tc>
      </w:tr>
      <w:tr w:rsidR="0068148D" w:rsidRPr="00B42E7B" w14:paraId="662DA446" w14:textId="77777777" w:rsidTr="00253CF4">
        <w:trPr>
          <w:trHeight w:val="491"/>
        </w:trPr>
        <w:tc>
          <w:tcPr>
            <w:tcW w:w="2280" w:type="dxa"/>
          </w:tcPr>
          <w:p w14:paraId="6F0651E6" w14:textId="77777777" w:rsidR="0068148D" w:rsidRPr="00B42E7B" w:rsidRDefault="0068148D" w:rsidP="0068148D">
            <w:pPr>
              <w:pStyle w:val="NoSpacing"/>
            </w:pPr>
            <w:r>
              <w:lastRenderedPageBreak/>
              <w:t xml:space="preserve">2. 1. </w:t>
            </w:r>
            <w:r w:rsidRPr="00947E60">
              <w:t>Percentage of clients in residential and non-residential care facilities rehabilitated:</w:t>
            </w:r>
          </w:p>
        </w:tc>
        <w:tc>
          <w:tcPr>
            <w:tcW w:w="1543" w:type="dxa"/>
          </w:tcPr>
          <w:p w14:paraId="6080C7AF" w14:textId="77777777" w:rsidR="0068148D" w:rsidRPr="00B42E7B" w:rsidRDefault="00F11CFB" w:rsidP="0068148D">
            <w:pPr>
              <w:pStyle w:val="NoSpacing"/>
            </w:pPr>
            <w:r>
              <w:t>100%</w:t>
            </w:r>
          </w:p>
        </w:tc>
        <w:tc>
          <w:tcPr>
            <w:tcW w:w="1701" w:type="dxa"/>
          </w:tcPr>
          <w:p w14:paraId="47796A67" w14:textId="77777777" w:rsidR="0068148D" w:rsidRPr="00B42E7B" w:rsidRDefault="00F11CFB" w:rsidP="0068148D">
            <w:pPr>
              <w:pStyle w:val="NoSpacing"/>
            </w:pPr>
            <w:r>
              <w:t>78.57%</w:t>
            </w:r>
          </w:p>
        </w:tc>
        <w:tc>
          <w:tcPr>
            <w:tcW w:w="1275" w:type="dxa"/>
          </w:tcPr>
          <w:p w14:paraId="17F3C57E" w14:textId="77777777" w:rsidR="0068148D" w:rsidRPr="00B42E7B" w:rsidRDefault="00CB2B5B" w:rsidP="0068148D">
            <w:pPr>
              <w:pStyle w:val="NoSpacing"/>
            </w:pPr>
            <w:r>
              <w:t>21.25%</w:t>
            </w:r>
          </w:p>
        </w:tc>
        <w:tc>
          <w:tcPr>
            <w:tcW w:w="1276" w:type="dxa"/>
          </w:tcPr>
          <w:p w14:paraId="7DEC1E9A" w14:textId="77777777" w:rsidR="0068148D" w:rsidRPr="00253CF4" w:rsidRDefault="0068148D" w:rsidP="0068148D">
            <w:pPr>
              <w:pStyle w:val="NoSpacing"/>
            </w:pPr>
          </w:p>
        </w:tc>
        <w:tc>
          <w:tcPr>
            <w:tcW w:w="2290" w:type="dxa"/>
          </w:tcPr>
          <w:p w14:paraId="665F041C" w14:textId="77777777" w:rsidR="0068148D" w:rsidRPr="00253CF4" w:rsidRDefault="0068148D" w:rsidP="0068148D">
            <w:pPr>
              <w:pStyle w:val="NoSpacing"/>
            </w:pPr>
          </w:p>
        </w:tc>
      </w:tr>
      <w:tr w:rsidR="0068148D" w:rsidRPr="00B42E7B" w14:paraId="0E757EF3" w14:textId="77777777" w:rsidTr="00253CF4">
        <w:trPr>
          <w:trHeight w:val="491"/>
        </w:trPr>
        <w:tc>
          <w:tcPr>
            <w:tcW w:w="2280" w:type="dxa"/>
          </w:tcPr>
          <w:p w14:paraId="0004062C" w14:textId="77777777" w:rsidR="0068148D" w:rsidRPr="00B42E7B" w:rsidRDefault="0068148D" w:rsidP="0068148D">
            <w:pPr>
              <w:pStyle w:val="NoSpacing"/>
            </w:pPr>
            <w:r w:rsidRPr="00B42E7B">
              <w:t>No. of Clients Rehabilitated</w:t>
            </w:r>
          </w:p>
        </w:tc>
        <w:tc>
          <w:tcPr>
            <w:tcW w:w="1543" w:type="dxa"/>
          </w:tcPr>
          <w:p w14:paraId="356D7950" w14:textId="77777777" w:rsidR="0068148D" w:rsidRPr="00B42E7B" w:rsidRDefault="00F11CFB" w:rsidP="00253CF4">
            <w:pPr>
              <w:pStyle w:val="NoSpacing"/>
              <w:jc w:val="center"/>
            </w:pPr>
            <w:r>
              <w:t>84</w:t>
            </w:r>
          </w:p>
        </w:tc>
        <w:tc>
          <w:tcPr>
            <w:tcW w:w="1701" w:type="dxa"/>
          </w:tcPr>
          <w:p w14:paraId="43D3B5CD" w14:textId="77777777" w:rsidR="0068148D" w:rsidRPr="00B42E7B" w:rsidRDefault="00F11CFB" w:rsidP="0068148D">
            <w:pPr>
              <w:pStyle w:val="NoSpacing"/>
            </w:pPr>
            <w:r>
              <w:t>66</w:t>
            </w:r>
          </w:p>
        </w:tc>
        <w:tc>
          <w:tcPr>
            <w:tcW w:w="1275" w:type="dxa"/>
          </w:tcPr>
          <w:p w14:paraId="2BF2429B" w14:textId="77777777" w:rsidR="0068148D" w:rsidRPr="00B42E7B" w:rsidRDefault="00F11CFB" w:rsidP="0068148D">
            <w:pPr>
              <w:pStyle w:val="NoSpacing"/>
            </w:pPr>
            <w:r>
              <w:t>78.57%</w:t>
            </w:r>
          </w:p>
        </w:tc>
        <w:tc>
          <w:tcPr>
            <w:tcW w:w="1276" w:type="dxa"/>
          </w:tcPr>
          <w:p w14:paraId="07F1F294" w14:textId="77777777" w:rsidR="0068148D" w:rsidRPr="00B42E7B" w:rsidRDefault="00F11CFB" w:rsidP="0068148D">
            <w:pPr>
              <w:pStyle w:val="NoSpacing"/>
            </w:pPr>
            <w:r>
              <w:t>Major Deviation</w:t>
            </w:r>
          </w:p>
        </w:tc>
        <w:tc>
          <w:tcPr>
            <w:tcW w:w="2290" w:type="dxa"/>
          </w:tcPr>
          <w:p w14:paraId="67F3C911" w14:textId="77777777" w:rsidR="0068148D" w:rsidRPr="00B42E7B" w:rsidRDefault="0068148D" w:rsidP="0068148D">
            <w:pPr>
              <w:pStyle w:val="NoSpacing"/>
            </w:pPr>
          </w:p>
        </w:tc>
      </w:tr>
      <w:tr w:rsidR="0068148D" w:rsidRPr="00B42E7B" w14:paraId="612D8DEE" w14:textId="77777777" w:rsidTr="0068148D">
        <w:trPr>
          <w:trHeight w:val="74"/>
        </w:trPr>
        <w:tc>
          <w:tcPr>
            <w:tcW w:w="10365" w:type="dxa"/>
            <w:gridSpan w:val="6"/>
            <w:shd w:val="clear" w:color="auto" w:fill="DEEAF6" w:themeFill="accent1" w:themeFillTint="33"/>
          </w:tcPr>
          <w:p w14:paraId="4C93E7B9" w14:textId="77777777" w:rsidR="0068148D" w:rsidRPr="00BF0533" w:rsidRDefault="0068148D" w:rsidP="0068148D">
            <w:pPr>
              <w:pStyle w:val="NoSpacing"/>
              <w:rPr>
                <w:b/>
              </w:rPr>
            </w:pPr>
            <w:r w:rsidRPr="00BF0533">
              <w:rPr>
                <w:b/>
              </w:rPr>
              <w:t>Residential Care Facilities</w:t>
            </w:r>
          </w:p>
        </w:tc>
      </w:tr>
      <w:tr w:rsidR="00F11CFB" w:rsidRPr="00B42E7B" w14:paraId="65D2D5FA" w14:textId="77777777" w:rsidTr="00253CF4">
        <w:trPr>
          <w:trHeight w:val="39"/>
        </w:trPr>
        <w:tc>
          <w:tcPr>
            <w:tcW w:w="2280" w:type="dxa"/>
          </w:tcPr>
          <w:p w14:paraId="2BAAC89E" w14:textId="77777777" w:rsidR="00F11CFB" w:rsidRPr="00B42E7B" w:rsidRDefault="00F11CFB" w:rsidP="00F11CFB">
            <w:pPr>
              <w:pStyle w:val="NoSpacing"/>
            </w:pPr>
            <w:r w:rsidRPr="002D57EA">
              <w:t>RSCC</w:t>
            </w:r>
          </w:p>
        </w:tc>
        <w:tc>
          <w:tcPr>
            <w:tcW w:w="1543" w:type="dxa"/>
          </w:tcPr>
          <w:p w14:paraId="51DF111E" w14:textId="77777777" w:rsidR="00F11CFB" w:rsidRPr="00B42E7B" w:rsidRDefault="00F11CFB" w:rsidP="00F11CFB">
            <w:pPr>
              <w:pStyle w:val="NoSpacing"/>
            </w:pPr>
            <w:r>
              <w:t>24</w:t>
            </w:r>
            <w:r w:rsidR="00CB2B5B">
              <w:t xml:space="preserve"> (100%)</w:t>
            </w:r>
          </w:p>
        </w:tc>
        <w:tc>
          <w:tcPr>
            <w:tcW w:w="1701" w:type="dxa"/>
          </w:tcPr>
          <w:p w14:paraId="75A07CD1" w14:textId="77777777" w:rsidR="00F11CFB" w:rsidRPr="00B42E7B" w:rsidRDefault="00CB2B5B" w:rsidP="00F11CFB">
            <w:pPr>
              <w:pStyle w:val="NoSpacing"/>
            </w:pPr>
            <w:r>
              <w:t>24 (</w:t>
            </w:r>
            <w:r w:rsidR="00F11CFB">
              <w:t>100%</w:t>
            </w:r>
            <w:r>
              <w:t>)</w:t>
            </w:r>
            <w:r w:rsidR="00F11CFB">
              <w:t xml:space="preserve"> </w:t>
            </w:r>
          </w:p>
        </w:tc>
        <w:tc>
          <w:tcPr>
            <w:tcW w:w="1275" w:type="dxa"/>
          </w:tcPr>
          <w:p w14:paraId="28E164B9" w14:textId="77777777" w:rsidR="00F11CFB" w:rsidRPr="00B42E7B" w:rsidRDefault="00F11CFB" w:rsidP="00F11CFB">
            <w:pPr>
              <w:pStyle w:val="NoSpacing"/>
            </w:pPr>
            <w:r>
              <w:t>100% (24)</w:t>
            </w:r>
          </w:p>
        </w:tc>
        <w:tc>
          <w:tcPr>
            <w:tcW w:w="1276" w:type="dxa"/>
          </w:tcPr>
          <w:p w14:paraId="69E1DE5A" w14:textId="77777777" w:rsidR="00F11CFB" w:rsidRPr="00253CF4" w:rsidRDefault="00F11CFB" w:rsidP="00F11CFB">
            <w:pPr>
              <w:pStyle w:val="NoSpacing"/>
            </w:pPr>
            <w:r w:rsidRPr="00253CF4">
              <w:t>Full Target Achieved</w:t>
            </w:r>
          </w:p>
        </w:tc>
        <w:tc>
          <w:tcPr>
            <w:tcW w:w="2290" w:type="dxa"/>
          </w:tcPr>
          <w:p w14:paraId="191C1809" w14:textId="77777777" w:rsidR="00F11CFB" w:rsidRPr="00253CF4" w:rsidRDefault="00F11CFB" w:rsidP="00F11CFB">
            <w:pPr>
              <w:pStyle w:val="NoSpacing"/>
            </w:pPr>
            <w:r w:rsidRPr="00253CF4">
              <w:rPr>
                <w:color w:val="000000"/>
                <w:shd w:val="clear" w:color="auto" w:fill="FFFFFF"/>
              </w:rPr>
              <w:t>The attrition is based on the referral from LGUs and other CCAs</w:t>
            </w:r>
          </w:p>
        </w:tc>
      </w:tr>
      <w:tr w:rsidR="00F11CFB" w:rsidRPr="00B42E7B" w14:paraId="2C1F3ECB" w14:textId="77777777" w:rsidTr="00253CF4">
        <w:trPr>
          <w:trHeight w:val="39"/>
        </w:trPr>
        <w:tc>
          <w:tcPr>
            <w:tcW w:w="2280" w:type="dxa"/>
          </w:tcPr>
          <w:p w14:paraId="6467C750" w14:textId="77777777" w:rsidR="00F11CFB" w:rsidRPr="00B42E7B" w:rsidRDefault="00F11CFB" w:rsidP="00F11CFB">
            <w:pPr>
              <w:pStyle w:val="NoSpacing"/>
            </w:pPr>
            <w:r w:rsidRPr="002D57EA">
              <w:t>CV-RRCY</w:t>
            </w:r>
          </w:p>
        </w:tc>
        <w:tc>
          <w:tcPr>
            <w:tcW w:w="1543" w:type="dxa"/>
          </w:tcPr>
          <w:p w14:paraId="7C562CB0" w14:textId="77777777" w:rsidR="00F11CFB" w:rsidRPr="00B42E7B" w:rsidRDefault="00F11CFB" w:rsidP="00F11CFB">
            <w:pPr>
              <w:pStyle w:val="NoSpacing"/>
              <w:jc w:val="center"/>
            </w:pPr>
            <w:r>
              <w:t>33 (100%)</w:t>
            </w:r>
          </w:p>
        </w:tc>
        <w:tc>
          <w:tcPr>
            <w:tcW w:w="1701" w:type="dxa"/>
          </w:tcPr>
          <w:p w14:paraId="10FD59F8" w14:textId="77777777" w:rsidR="00F11CFB" w:rsidRPr="00B42E7B" w:rsidRDefault="00F11CFB" w:rsidP="00F11CFB">
            <w:pPr>
              <w:pStyle w:val="NoSpacing"/>
            </w:pPr>
            <w:r>
              <w:t>22(66.67%</w:t>
            </w:r>
            <w:r w:rsidR="00CB2B5B">
              <w:t>)</w:t>
            </w:r>
          </w:p>
        </w:tc>
        <w:tc>
          <w:tcPr>
            <w:tcW w:w="1275" w:type="dxa"/>
          </w:tcPr>
          <w:p w14:paraId="627146A6" w14:textId="77777777" w:rsidR="00F11CFB" w:rsidRPr="00B42E7B" w:rsidRDefault="00F11CFB" w:rsidP="00F11CFB">
            <w:pPr>
              <w:pStyle w:val="NoSpacing"/>
            </w:pPr>
            <w:r>
              <w:t>11 (33.33%)</w:t>
            </w:r>
          </w:p>
        </w:tc>
        <w:tc>
          <w:tcPr>
            <w:tcW w:w="1276" w:type="dxa"/>
          </w:tcPr>
          <w:p w14:paraId="2EB03A0E" w14:textId="77777777" w:rsidR="00F11CFB" w:rsidRPr="00B42E7B" w:rsidRDefault="00F11CFB" w:rsidP="00F11CFB">
            <w:pPr>
              <w:pStyle w:val="NoSpacing"/>
            </w:pPr>
            <w:r>
              <w:t>Major Deviation</w:t>
            </w:r>
          </w:p>
        </w:tc>
        <w:tc>
          <w:tcPr>
            <w:tcW w:w="2290" w:type="dxa"/>
          </w:tcPr>
          <w:p w14:paraId="39AFE634" w14:textId="77777777" w:rsidR="00F11CFB" w:rsidRPr="00B42E7B" w:rsidRDefault="00F11CFB" w:rsidP="00F11CFB">
            <w:pPr>
              <w:pStyle w:val="NoSpacing"/>
            </w:pPr>
            <w:r w:rsidRPr="00B42E7B">
              <w:t xml:space="preserve"> </w:t>
            </w:r>
            <w:r w:rsidRPr="00253CF4">
              <w:t xml:space="preserve">The 22 or 57.89 % of rehabilitated cases or have improved social functioning is higher than the target of 30% of the total served.  </w:t>
            </w:r>
          </w:p>
        </w:tc>
      </w:tr>
      <w:tr w:rsidR="00F11CFB" w:rsidRPr="00B42E7B" w14:paraId="1E82CC5E" w14:textId="77777777" w:rsidTr="00253CF4">
        <w:trPr>
          <w:trHeight w:val="620"/>
        </w:trPr>
        <w:tc>
          <w:tcPr>
            <w:tcW w:w="2280" w:type="dxa"/>
          </w:tcPr>
          <w:p w14:paraId="45B8CCC9" w14:textId="77777777" w:rsidR="00F11CFB" w:rsidRPr="00B64A59" w:rsidRDefault="00F11CFB" w:rsidP="00F11CFB">
            <w:pPr>
              <w:pStyle w:val="NoSpacing"/>
            </w:pPr>
            <w:r w:rsidRPr="00B64A59">
              <w:t>RHWG</w:t>
            </w:r>
          </w:p>
        </w:tc>
        <w:tc>
          <w:tcPr>
            <w:tcW w:w="1543" w:type="dxa"/>
          </w:tcPr>
          <w:p w14:paraId="5D950918" w14:textId="77777777" w:rsidR="00F11CFB" w:rsidRPr="00B42E7B" w:rsidRDefault="00CB2B5B" w:rsidP="00F11CFB">
            <w:pPr>
              <w:pStyle w:val="NoSpacing"/>
            </w:pPr>
            <w:r>
              <w:t>27 (100%)</w:t>
            </w:r>
          </w:p>
        </w:tc>
        <w:tc>
          <w:tcPr>
            <w:tcW w:w="1701" w:type="dxa"/>
          </w:tcPr>
          <w:p w14:paraId="398AC1E6" w14:textId="77777777" w:rsidR="00F11CFB" w:rsidRPr="00B42E7B" w:rsidRDefault="00CB2B5B" w:rsidP="00F11CFB">
            <w:pPr>
              <w:pStyle w:val="NoSpacing"/>
            </w:pPr>
            <w:r>
              <w:t>20 (74.07%)</w:t>
            </w:r>
          </w:p>
        </w:tc>
        <w:tc>
          <w:tcPr>
            <w:tcW w:w="1275" w:type="dxa"/>
          </w:tcPr>
          <w:p w14:paraId="1B3D68C7" w14:textId="77777777" w:rsidR="00F11CFB" w:rsidRPr="00B42E7B" w:rsidRDefault="00CB2B5B" w:rsidP="00F11CFB">
            <w:pPr>
              <w:pStyle w:val="NoSpacing"/>
            </w:pPr>
            <w:r>
              <w:t>725.93%</w:t>
            </w:r>
          </w:p>
        </w:tc>
        <w:tc>
          <w:tcPr>
            <w:tcW w:w="1276" w:type="dxa"/>
          </w:tcPr>
          <w:p w14:paraId="1DE95411" w14:textId="77777777" w:rsidR="00F11CFB" w:rsidRPr="00253CF4" w:rsidRDefault="00CB2B5B" w:rsidP="00F11CFB">
            <w:pPr>
              <w:pStyle w:val="NoSpacing"/>
            </w:pPr>
            <w:r>
              <w:t>Major Deviation</w:t>
            </w:r>
          </w:p>
        </w:tc>
        <w:tc>
          <w:tcPr>
            <w:tcW w:w="2290" w:type="dxa"/>
          </w:tcPr>
          <w:p w14:paraId="1B4AC561" w14:textId="77777777" w:rsidR="00F11CFB" w:rsidRPr="00CB2B5B" w:rsidRDefault="00CB2B5B" w:rsidP="00F11CFB">
            <w:pPr>
              <w:pStyle w:val="NoSpacing"/>
            </w:pPr>
            <w:r w:rsidRPr="00CB2B5B">
              <w:rPr>
                <w:color w:val="000000"/>
                <w:shd w:val="clear" w:color="auto" w:fill="FFFFFF"/>
              </w:rPr>
              <w:t>Difficulty on the process of discharge and litigation of cases. Postponement of court hearings impede the fast resolution of cases. The reported total number of rehabilitated cases are carry over cases.</w:t>
            </w:r>
          </w:p>
        </w:tc>
      </w:tr>
      <w:tr w:rsidR="0068148D" w:rsidRPr="00B42E7B" w14:paraId="29FDBA87" w14:textId="77777777" w:rsidTr="0068148D">
        <w:trPr>
          <w:trHeight w:val="59"/>
        </w:trPr>
        <w:tc>
          <w:tcPr>
            <w:tcW w:w="10365" w:type="dxa"/>
            <w:gridSpan w:val="6"/>
            <w:tcBorders>
              <w:top w:val="single" w:sz="4" w:space="0" w:color="auto"/>
            </w:tcBorders>
            <w:shd w:val="clear" w:color="auto" w:fill="DEEAF6" w:themeFill="accent1" w:themeFillTint="33"/>
          </w:tcPr>
          <w:p w14:paraId="1AE6F97C" w14:textId="77777777" w:rsidR="0068148D" w:rsidRPr="00BF0533" w:rsidRDefault="0068148D" w:rsidP="0068148D">
            <w:pPr>
              <w:pStyle w:val="NoSpacing"/>
              <w:rPr>
                <w:b/>
              </w:rPr>
            </w:pPr>
            <w:r w:rsidRPr="00BF0533">
              <w:rPr>
                <w:b/>
              </w:rPr>
              <w:t>Supplementary Feeding Program</w:t>
            </w:r>
          </w:p>
        </w:tc>
      </w:tr>
      <w:tr w:rsidR="0068148D" w:rsidRPr="00B42E7B" w14:paraId="17CFCE38" w14:textId="77777777" w:rsidTr="00253CF4">
        <w:trPr>
          <w:trHeight w:val="549"/>
        </w:trPr>
        <w:tc>
          <w:tcPr>
            <w:tcW w:w="2280" w:type="dxa"/>
          </w:tcPr>
          <w:p w14:paraId="05E99487" w14:textId="77777777" w:rsidR="0068148D" w:rsidRPr="00B64A59" w:rsidRDefault="0068148D" w:rsidP="0068148D">
            <w:pPr>
              <w:pStyle w:val="NoSpacing"/>
            </w:pPr>
            <w:r>
              <w:t xml:space="preserve">2.5. </w:t>
            </w:r>
            <w:r w:rsidRPr="00245802">
              <w:t xml:space="preserve">Percentage of malnourished children in CDCs and SNPs with improved </w:t>
            </w:r>
            <w:r w:rsidR="00356193">
              <w:t>nutritional status for the 11</w:t>
            </w:r>
            <w:r w:rsidRPr="00245802">
              <w:t>th Cycle Implementation</w:t>
            </w:r>
          </w:p>
        </w:tc>
        <w:tc>
          <w:tcPr>
            <w:tcW w:w="1543" w:type="dxa"/>
          </w:tcPr>
          <w:p w14:paraId="6CF3BD75" w14:textId="77777777" w:rsidR="0068148D" w:rsidRPr="00B64A59" w:rsidRDefault="00356193" w:rsidP="0068148D">
            <w:pPr>
              <w:pStyle w:val="NoSpacing"/>
              <w:jc w:val="center"/>
            </w:pPr>
            <w:r>
              <w:t>80%</w:t>
            </w:r>
          </w:p>
        </w:tc>
        <w:tc>
          <w:tcPr>
            <w:tcW w:w="1701" w:type="dxa"/>
          </w:tcPr>
          <w:p w14:paraId="5DB8171B" w14:textId="77777777" w:rsidR="0068148D" w:rsidRPr="00B64A59" w:rsidRDefault="0068148D" w:rsidP="0068148D">
            <w:pPr>
              <w:pStyle w:val="NoSpacing"/>
              <w:jc w:val="center"/>
            </w:pPr>
          </w:p>
        </w:tc>
        <w:tc>
          <w:tcPr>
            <w:tcW w:w="1275" w:type="dxa"/>
          </w:tcPr>
          <w:p w14:paraId="7A5B4C55" w14:textId="77777777" w:rsidR="0068148D" w:rsidRPr="00B64A59" w:rsidRDefault="0068148D" w:rsidP="0068148D">
            <w:pPr>
              <w:pStyle w:val="NoSpacing"/>
            </w:pPr>
          </w:p>
        </w:tc>
        <w:tc>
          <w:tcPr>
            <w:tcW w:w="1276" w:type="dxa"/>
          </w:tcPr>
          <w:p w14:paraId="1B8C5DCE" w14:textId="77777777" w:rsidR="0068148D" w:rsidRPr="00B64A59" w:rsidRDefault="0068148D" w:rsidP="0068148D">
            <w:pPr>
              <w:pStyle w:val="NoSpacing"/>
            </w:pPr>
          </w:p>
        </w:tc>
        <w:tc>
          <w:tcPr>
            <w:tcW w:w="2290" w:type="dxa"/>
          </w:tcPr>
          <w:p w14:paraId="72F7644D" w14:textId="77777777" w:rsidR="0068148D" w:rsidRPr="00B64A59" w:rsidRDefault="0068148D" w:rsidP="0068148D">
            <w:pPr>
              <w:pStyle w:val="NoSpacing"/>
            </w:pPr>
          </w:p>
        </w:tc>
      </w:tr>
      <w:tr w:rsidR="00356193" w:rsidRPr="00B42E7B" w14:paraId="4CB49DA2" w14:textId="77777777" w:rsidTr="00253CF4">
        <w:trPr>
          <w:trHeight w:val="549"/>
        </w:trPr>
        <w:tc>
          <w:tcPr>
            <w:tcW w:w="2280" w:type="dxa"/>
          </w:tcPr>
          <w:p w14:paraId="1A26F1B8" w14:textId="77777777" w:rsidR="00356193" w:rsidRDefault="00356193" w:rsidP="00356193">
            <w:pPr>
              <w:pStyle w:val="NoSpacing"/>
            </w:pPr>
            <w:r>
              <w:t xml:space="preserve">Number of Malnourished Children </w:t>
            </w:r>
          </w:p>
          <w:p w14:paraId="6313DC3C" w14:textId="77777777" w:rsidR="00356193" w:rsidRPr="00B64A59" w:rsidRDefault="00356193" w:rsidP="00356193">
            <w:pPr>
              <w:pStyle w:val="NoSpacing"/>
            </w:pPr>
            <w:r>
              <w:t>(Before feeding sessions)</w:t>
            </w:r>
          </w:p>
        </w:tc>
        <w:tc>
          <w:tcPr>
            <w:tcW w:w="1543" w:type="dxa"/>
          </w:tcPr>
          <w:p w14:paraId="0BF4D313" w14:textId="77777777" w:rsidR="00356193" w:rsidRPr="00B64A59" w:rsidRDefault="00356193" w:rsidP="00356193">
            <w:pPr>
              <w:pStyle w:val="NoSpacing"/>
              <w:jc w:val="center"/>
            </w:pPr>
            <w:r>
              <w:t>5,433</w:t>
            </w:r>
          </w:p>
        </w:tc>
        <w:tc>
          <w:tcPr>
            <w:tcW w:w="1701" w:type="dxa"/>
          </w:tcPr>
          <w:p w14:paraId="4A523B3F" w14:textId="77777777" w:rsidR="00356193" w:rsidRPr="00B64A59" w:rsidRDefault="00356193" w:rsidP="00356193">
            <w:pPr>
              <w:pStyle w:val="NoSpacing"/>
              <w:jc w:val="center"/>
            </w:pPr>
            <w:r>
              <w:t>5,433</w:t>
            </w:r>
          </w:p>
        </w:tc>
        <w:tc>
          <w:tcPr>
            <w:tcW w:w="1275" w:type="dxa"/>
          </w:tcPr>
          <w:p w14:paraId="4FB7B455" w14:textId="77777777" w:rsidR="00356193" w:rsidRPr="00B64A59" w:rsidRDefault="00356193" w:rsidP="00356193">
            <w:pPr>
              <w:pStyle w:val="NoSpacing"/>
              <w:jc w:val="right"/>
            </w:pPr>
            <w:r>
              <w:t>100%</w:t>
            </w:r>
          </w:p>
        </w:tc>
        <w:tc>
          <w:tcPr>
            <w:tcW w:w="1276" w:type="dxa"/>
          </w:tcPr>
          <w:p w14:paraId="558DEF8D" w14:textId="77777777" w:rsidR="00356193" w:rsidRPr="00B64A59" w:rsidRDefault="00356193" w:rsidP="00356193">
            <w:pPr>
              <w:pStyle w:val="NoSpacing"/>
            </w:pPr>
            <w:r>
              <w:t xml:space="preserve">Full Target Achieved </w:t>
            </w:r>
          </w:p>
        </w:tc>
        <w:tc>
          <w:tcPr>
            <w:tcW w:w="2290" w:type="dxa"/>
          </w:tcPr>
          <w:p w14:paraId="412BE9C9" w14:textId="77777777" w:rsidR="00356193" w:rsidRPr="00B64A59" w:rsidRDefault="00356193" w:rsidP="00356193">
            <w:pPr>
              <w:pStyle w:val="NoSpacing"/>
            </w:pPr>
            <w:r w:rsidRPr="00356193">
              <w:t xml:space="preserve">11th cycle implementation is still </w:t>
            </w:r>
            <w:r>
              <w:t>ongoing</w:t>
            </w:r>
            <w:r w:rsidRPr="00356193">
              <w:t>. The target completion is by end of June 2022.</w:t>
            </w:r>
          </w:p>
        </w:tc>
      </w:tr>
      <w:tr w:rsidR="00356193" w:rsidRPr="00B42E7B" w14:paraId="2A48FDAF" w14:textId="77777777" w:rsidTr="00253CF4">
        <w:trPr>
          <w:trHeight w:val="549"/>
        </w:trPr>
        <w:tc>
          <w:tcPr>
            <w:tcW w:w="2280" w:type="dxa"/>
          </w:tcPr>
          <w:p w14:paraId="481032FB" w14:textId="77777777" w:rsidR="00356193" w:rsidRDefault="00356193" w:rsidP="00356193">
            <w:pPr>
              <w:pStyle w:val="NoSpacing"/>
            </w:pPr>
            <w:r w:rsidRPr="00245802">
              <w:t>a. Severely underweight to Underweight (Baseline)</w:t>
            </w:r>
          </w:p>
        </w:tc>
        <w:tc>
          <w:tcPr>
            <w:tcW w:w="1543" w:type="dxa"/>
          </w:tcPr>
          <w:p w14:paraId="3080ACF0" w14:textId="77777777" w:rsidR="00356193" w:rsidRPr="00B64A59" w:rsidRDefault="00356193" w:rsidP="00356193">
            <w:pPr>
              <w:pStyle w:val="NoSpacing"/>
              <w:jc w:val="center"/>
            </w:pPr>
            <w:r>
              <w:t>783</w:t>
            </w:r>
          </w:p>
        </w:tc>
        <w:tc>
          <w:tcPr>
            <w:tcW w:w="1701" w:type="dxa"/>
          </w:tcPr>
          <w:p w14:paraId="5377404A" w14:textId="77777777" w:rsidR="00356193" w:rsidRPr="00B64A59" w:rsidRDefault="00356193" w:rsidP="00356193">
            <w:pPr>
              <w:pStyle w:val="NoSpacing"/>
              <w:jc w:val="center"/>
            </w:pPr>
            <w:r>
              <w:t>783</w:t>
            </w:r>
          </w:p>
        </w:tc>
        <w:tc>
          <w:tcPr>
            <w:tcW w:w="1275" w:type="dxa"/>
          </w:tcPr>
          <w:p w14:paraId="20EA2D34" w14:textId="77777777" w:rsidR="00356193" w:rsidRPr="00B64A59" w:rsidRDefault="00356193" w:rsidP="00356193">
            <w:pPr>
              <w:pStyle w:val="NoSpacing"/>
              <w:jc w:val="right"/>
            </w:pPr>
            <w:r>
              <w:t>100%</w:t>
            </w:r>
          </w:p>
        </w:tc>
        <w:tc>
          <w:tcPr>
            <w:tcW w:w="1276" w:type="dxa"/>
          </w:tcPr>
          <w:p w14:paraId="52D4E0F5" w14:textId="77777777" w:rsidR="00356193" w:rsidRPr="00B64A59" w:rsidRDefault="00356193" w:rsidP="00356193">
            <w:pPr>
              <w:pStyle w:val="NoSpacing"/>
            </w:pPr>
            <w:r>
              <w:t xml:space="preserve">Full Target Achieved </w:t>
            </w:r>
          </w:p>
        </w:tc>
        <w:tc>
          <w:tcPr>
            <w:tcW w:w="2290" w:type="dxa"/>
          </w:tcPr>
          <w:p w14:paraId="4BC6F244" w14:textId="77777777" w:rsidR="00356193" w:rsidRPr="00B64A59" w:rsidRDefault="00356193" w:rsidP="00356193">
            <w:pPr>
              <w:pStyle w:val="NoSpacing"/>
            </w:pPr>
          </w:p>
        </w:tc>
      </w:tr>
      <w:tr w:rsidR="00356193" w:rsidRPr="00B42E7B" w14:paraId="235B8A6E" w14:textId="77777777" w:rsidTr="00253CF4">
        <w:trPr>
          <w:trHeight w:val="549"/>
        </w:trPr>
        <w:tc>
          <w:tcPr>
            <w:tcW w:w="2280" w:type="dxa"/>
          </w:tcPr>
          <w:p w14:paraId="4D38FA64" w14:textId="77777777" w:rsidR="00356193" w:rsidRDefault="00356193" w:rsidP="00356193">
            <w:pPr>
              <w:pStyle w:val="NoSpacing"/>
            </w:pPr>
            <w:r w:rsidRPr="00245802">
              <w:t>b. Underweight to Normal (Baseline)</w:t>
            </w:r>
          </w:p>
        </w:tc>
        <w:tc>
          <w:tcPr>
            <w:tcW w:w="1543" w:type="dxa"/>
          </w:tcPr>
          <w:p w14:paraId="1DEAA3AD" w14:textId="77777777" w:rsidR="00356193" w:rsidRPr="00B64A59" w:rsidRDefault="00356193" w:rsidP="00356193">
            <w:pPr>
              <w:pStyle w:val="NoSpacing"/>
              <w:jc w:val="center"/>
            </w:pPr>
            <w:r>
              <w:t>4,650</w:t>
            </w:r>
          </w:p>
        </w:tc>
        <w:tc>
          <w:tcPr>
            <w:tcW w:w="1701" w:type="dxa"/>
          </w:tcPr>
          <w:p w14:paraId="4D95D30D" w14:textId="77777777" w:rsidR="00356193" w:rsidRPr="00B64A59" w:rsidRDefault="00356193" w:rsidP="00356193">
            <w:pPr>
              <w:pStyle w:val="NoSpacing"/>
              <w:jc w:val="center"/>
            </w:pPr>
            <w:r>
              <w:t>4,650</w:t>
            </w:r>
          </w:p>
        </w:tc>
        <w:tc>
          <w:tcPr>
            <w:tcW w:w="1275" w:type="dxa"/>
          </w:tcPr>
          <w:p w14:paraId="07CE8433" w14:textId="77777777" w:rsidR="00356193" w:rsidRPr="00B64A59" w:rsidRDefault="00356193" w:rsidP="00356193">
            <w:pPr>
              <w:pStyle w:val="NoSpacing"/>
              <w:jc w:val="right"/>
            </w:pPr>
            <w:r>
              <w:t>100%</w:t>
            </w:r>
          </w:p>
        </w:tc>
        <w:tc>
          <w:tcPr>
            <w:tcW w:w="1276" w:type="dxa"/>
          </w:tcPr>
          <w:p w14:paraId="18B25047" w14:textId="77777777" w:rsidR="00356193" w:rsidRPr="00B64A59" w:rsidRDefault="00356193" w:rsidP="00356193">
            <w:pPr>
              <w:pStyle w:val="NoSpacing"/>
            </w:pPr>
            <w:r>
              <w:t xml:space="preserve">Full Target Achieved </w:t>
            </w:r>
          </w:p>
        </w:tc>
        <w:tc>
          <w:tcPr>
            <w:tcW w:w="2290" w:type="dxa"/>
          </w:tcPr>
          <w:p w14:paraId="0BBE6CAB" w14:textId="77777777" w:rsidR="00356193" w:rsidRPr="00B64A59" w:rsidRDefault="00356193" w:rsidP="00356193">
            <w:pPr>
              <w:pStyle w:val="NoSpacing"/>
            </w:pPr>
          </w:p>
        </w:tc>
      </w:tr>
      <w:tr w:rsidR="00356193" w:rsidRPr="00B42E7B" w14:paraId="14099044" w14:textId="77777777" w:rsidTr="00253CF4">
        <w:trPr>
          <w:trHeight w:val="549"/>
        </w:trPr>
        <w:tc>
          <w:tcPr>
            <w:tcW w:w="2280" w:type="dxa"/>
            <w:tcBorders>
              <w:bottom w:val="single" w:sz="4" w:space="0" w:color="auto"/>
            </w:tcBorders>
          </w:tcPr>
          <w:p w14:paraId="09DA5B2E" w14:textId="77777777" w:rsidR="00356193" w:rsidRPr="00245802" w:rsidRDefault="00356193" w:rsidP="00356193">
            <w:pPr>
              <w:pStyle w:val="NoSpacing"/>
            </w:pPr>
            <w:r w:rsidRPr="00C87069">
              <w:t xml:space="preserve">Number of Malnourished Children with improved nutritional </w:t>
            </w:r>
            <w:r w:rsidRPr="00C87069">
              <w:lastRenderedPageBreak/>
              <w:t>status (After feeding session)</w:t>
            </w:r>
          </w:p>
        </w:tc>
        <w:tc>
          <w:tcPr>
            <w:tcW w:w="1543" w:type="dxa"/>
          </w:tcPr>
          <w:p w14:paraId="18E8B68D" w14:textId="77777777" w:rsidR="00356193" w:rsidRDefault="00356193" w:rsidP="00356193">
            <w:pPr>
              <w:pStyle w:val="NoSpacing"/>
              <w:jc w:val="center"/>
            </w:pPr>
            <w:r>
              <w:lastRenderedPageBreak/>
              <w:t>4,401</w:t>
            </w:r>
          </w:p>
        </w:tc>
        <w:tc>
          <w:tcPr>
            <w:tcW w:w="1701" w:type="dxa"/>
          </w:tcPr>
          <w:p w14:paraId="32AFF399" w14:textId="77777777" w:rsidR="00356193" w:rsidRDefault="00356193" w:rsidP="00356193">
            <w:pPr>
              <w:pStyle w:val="NoSpacing"/>
              <w:jc w:val="center"/>
            </w:pPr>
            <w:r>
              <w:t>4,401</w:t>
            </w:r>
          </w:p>
        </w:tc>
        <w:tc>
          <w:tcPr>
            <w:tcW w:w="1275" w:type="dxa"/>
          </w:tcPr>
          <w:p w14:paraId="23210D26" w14:textId="77777777" w:rsidR="00356193" w:rsidRPr="00B64A59" w:rsidRDefault="00356193" w:rsidP="00356193">
            <w:pPr>
              <w:pStyle w:val="NoSpacing"/>
              <w:jc w:val="right"/>
            </w:pPr>
            <w:r>
              <w:t>100%</w:t>
            </w:r>
          </w:p>
        </w:tc>
        <w:tc>
          <w:tcPr>
            <w:tcW w:w="1276" w:type="dxa"/>
          </w:tcPr>
          <w:p w14:paraId="4602391B" w14:textId="77777777" w:rsidR="00356193" w:rsidRPr="00B64A59" w:rsidRDefault="00356193" w:rsidP="00356193">
            <w:pPr>
              <w:pStyle w:val="NoSpacing"/>
            </w:pPr>
            <w:r>
              <w:t xml:space="preserve">Full Target Achieved </w:t>
            </w:r>
          </w:p>
        </w:tc>
        <w:tc>
          <w:tcPr>
            <w:tcW w:w="2290" w:type="dxa"/>
          </w:tcPr>
          <w:p w14:paraId="5E559387" w14:textId="77777777" w:rsidR="00356193" w:rsidRPr="00B64A59" w:rsidRDefault="00356193" w:rsidP="00356193">
            <w:pPr>
              <w:pStyle w:val="NoSpacing"/>
            </w:pPr>
          </w:p>
        </w:tc>
      </w:tr>
      <w:tr w:rsidR="00356193" w:rsidRPr="00B42E7B" w14:paraId="4F9F8FC5" w14:textId="77777777" w:rsidTr="00253CF4">
        <w:trPr>
          <w:trHeight w:val="54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DF03B99" w14:textId="77777777" w:rsidR="00356193" w:rsidRDefault="00356193" w:rsidP="00356193">
            <w:pPr>
              <w:rPr>
                <w:color w:val="000000"/>
              </w:rPr>
            </w:pPr>
            <w:r>
              <w:rPr>
                <w:color w:val="000000"/>
              </w:rPr>
              <w:lastRenderedPageBreak/>
              <w:t>a. Severely underweight to Underweight (21%)</w:t>
            </w:r>
          </w:p>
        </w:tc>
        <w:tc>
          <w:tcPr>
            <w:tcW w:w="1543" w:type="dxa"/>
            <w:tcBorders>
              <w:left w:val="single" w:sz="4" w:space="0" w:color="auto"/>
            </w:tcBorders>
          </w:tcPr>
          <w:p w14:paraId="142B2D95" w14:textId="77777777" w:rsidR="00356193" w:rsidRDefault="00356193" w:rsidP="00356193">
            <w:pPr>
              <w:pStyle w:val="NoSpacing"/>
              <w:jc w:val="center"/>
            </w:pPr>
            <w:r>
              <w:t>165</w:t>
            </w:r>
          </w:p>
        </w:tc>
        <w:tc>
          <w:tcPr>
            <w:tcW w:w="1701" w:type="dxa"/>
          </w:tcPr>
          <w:p w14:paraId="57806E2A" w14:textId="77777777" w:rsidR="00356193" w:rsidRDefault="00356193" w:rsidP="00356193">
            <w:pPr>
              <w:pStyle w:val="NoSpacing"/>
              <w:jc w:val="center"/>
            </w:pPr>
            <w:r>
              <w:t>165</w:t>
            </w:r>
          </w:p>
        </w:tc>
        <w:tc>
          <w:tcPr>
            <w:tcW w:w="1275" w:type="dxa"/>
          </w:tcPr>
          <w:p w14:paraId="750F3492" w14:textId="77777777" w:rsidR="00356193" w:rsidRPr="00B64A59" w:rsidRDefault="00356193" w:rsidP="00356193">
            <w:pPr>
              <w:pStyle w:val="NoSpacing"/>
              <w:jc w:val="right"/>
            </w:pPr>
            <w:r>
              <w:t>100%</w:t>
            </w:r>
          </w:p>
        </w:tc>
        <w:tc>
          <w:tcPr>
            <w:tcW w:w="1276" w:type="dxa"/>
          </w:tcPr>
          <w:p w14:paraId="6360B3C8" w14:textId="77777777" w:rsidR="00356193" w:rsidRPr="00B64A59" w:rsidRDefault="00356193" w:rsidP="00356193">
            <w:pPr>
              <w:pStyle w:val="NoSpacing"/>
            </w:pPr>
            <w:r>
              <w:t xml:space="preserve">Full Target Achieved </w:t>
            </w:r>
          </w:p>
        </w:tc>
        <w:tc>
          <w:tcPr>
            <w:tcW w:w="2290" w:type="dxa"/>
          </w:tcPr>
          <w:p w14:paraId="0FDDEB7B" w14:textId="77777777" w:rsidR="00356193" w:rsidRPr="00B64A59" w:rsidRDefault="00356193" w:rsidP="00356193">
            <w:pPr>
              <w:pStyle w:val="NoSpacing"/>
            </w:pPr>
          </w:p>
        </w:tc>
      </w:tr>
      <w:tr w:rsidR="00356193" w:rsidRPr="00B42E7B" w14:paraId="6D5504A4" w14:textId="77777777" w:rsidTr="00253CF4">
        <w:trPr>
          <w:trHeight w:val="54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375B5A59" w14:textId="77777777" w:rsidR="00356193" w:rsidRDefault="00356193" w:rsidP="00356193">
            <w:pPr>
              <w:rPr>
                <w:color w:val="000000"/>
              </w:rPr>
            </w:pPr>
            <w:r>
              <w:rPr>
                <w:color w:val="000000"/>
              </w:rPr>
              <w:t>b. Underweight to Normal (81%)</w:t>
            </w:r>
          </w:p>
        </w:tc>
        <w:tc>
          <w:tcPr>
            <w:tcW w:w="1543" w:type="dxa"/>
            <w:tcBorders>
              <w:left w:val="single" w:sz="4" w:space="0" w:color="auto"/>
            </w:tcBorders>
          </w:tcPr>
          <w:p w14:paraId="46A5E3BF" w14:textId="77777777" w:rsidR="00356193" w:rsidRDefault="00356193" w:rsidP="00356193">
            <w:pPr>
              <w:pStyle w:val="NoSpacing"/>
              <w:jc w:val="center"/>
            </w:pPr>
            <w:r>
              <w:t>3,767</w:t>
            </w:r>
          </w:p>
        </w:tc>
        <w:tc>
          <w:tcPr>
            <w:tcW w:w="1701" w:type="dxa"/>
          </w:tcPr>
          <w:p w14:paraId="651EE0F0" w14:textId="77777777" w:rsidR="00356193" w:rsidRDefault="00356193" w:rsidP="00356193">
            <w:pPr>
              <w:pStyle w:val="NoSpacing"/>
              <w:jc w:val="center"/>
            </w:pPr>
            <w:r>
              <w:t>3,767</w:t>
            </w:r>
          </w:p>
        </w:tc>
        <w:tc>
          <w:tcPr>
            <w:tcW w:w="1275" w:type="dxa"/>
          </w:tcPr>
          <w:p w14:paraId="6CA84D1F" w14:textId="77777777" w:rsidR="00356193" w:rsidRPr="00B64A59" w:rsidRDefault="00356193" w:rsidP="00356193">
            <w:pPr>
              <w:pStyle w:val="NoSpacing"/>
              <w:jc w:val="right"/>
            </w:pPr>
            <w:r>
              <w:t>100%</w:t>
            </w:r>
          </w:p>
        </w:tc>
        <w:tc>
          <w:tcPr>
            <w:tcW w:w="1276" w:type="dxa"/>
          </w:tcPr>
          <w:p w14:paraId="0FA39AB9" w14:textId="77777777" w:rsidR="00356193" w:rsidRPr="00B64A59" w:rsidRDefault="00356193" w:rsidP="00356193">
            <w:pPr>
              <w:pStyle w:val="NoSpacing"/>
            </w:pPr>
            <w:r>
              <w:t xml:space="preserve">Full Target Achieved </w:t>
            </w:r>
          </w:p>
        </w:tc>
        <w:tc>
          <w:tcPr>
            <w:tcW w:w="2290" w:type="dxa"/>
          </w:tcPr>
          <w:p w14:paraId="12735372" w14:textId="77777777" w:rsidR="00356193" w:rsidRPr="00B64A59" w:rsidRDefault="00356193" w:rsidP="00356193">
            <w:pPr>
              <w:pStyle w:val="NoSpacing"/>
            </w:pPr>
          </w:p>
        </w:tc>
      </w:tr>
      <w:tr w:rsidR="00356193" w:rsidRPr="00B42E7B" w14:paraId="04EF4CF5" w14:textId="77777777" w:rsidTr="00253CF4">
        <w:trPr>
          <w:trHeight w:val="54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71A00BAD" w14:textId="77777777" w:rsidR="00356193" w:rsidRDefault="00356193" w:rsidP="00356193">
            <w:pPr>
              <w:rPr>
                <w:color w:val="000000"/>
              </w:rPr>
            </w:pPr>
            <w:r>
              <w:rPr>
                <w:color w:val="000000"/>
              </w:rPr>
              <w:t>2.6. Percentage of children in CDCs and SNPs with sustained normal nutritional status (over total children served)</w:t>
            </w:r>
          </w:p>
        </w:tc>
        <w:tc>
          <w:tcPr>
            <w:tcW w:w="1543" w:type="dxa"/>
            <w:tcBorders>
              <w:left w:val="single" w:sz="4" w:space="0" w:color="auto"/>
            </w:tcBorders>
          </w:tcPr>
          <w:p w14:paraId="23ECCEAE" w14:textId="77777777" w:rsidR="00356193" w:rsidRDefault="00356193" w:rsidP="00356193">
            <w:pPr>
              <w:pStyle w:val="NoSpacing"/>
              <w:jc w:val="center"/>
            </w:pPr>
            <w:r>
              <w:t>90%</w:t>
            </w:r>
          </w:p>
        </w:tc>
        <w:tc>
          <w:tcPr>
            <w:tcW w:w="1701" w:type="dxa"/>
          </w:tcPr>
          <w:p w14:paraId="4EC1B32A" w14:textId="77777777" w:rsidR="00356193" w:rsidRDefault="00356193" w:rsidP="00356193">
            <w:pPr>
              <w:pStyle w:val="NoSpacing"/>
              <w:jc w:val="right"/>
            </w:pPr>
            <w:r>
              <w:t>90%</w:t>
            </w:r>
          </w:p>
        </w:tc>
        <w:tc>
          <w:tcPr>
            <w:tcW w:w="1275" w:type="dxa"/>
          </w:tcPr>
          <w:p w14:paraId="780336CF" w14:textId="77777777" w:rsidR="00356193" w:rsidRDefault="00356193" w:rsidP="00356193">
            <w:pPr>
              <w:pStyle w:val="NoSpacing"/>
            </w:pPr>
            <w:r>
              <w:t>0</w:t>
            </w:r>
          </w:p>
        </w:tc>
        <w:tc>
          <w:tcPr>
            <w:tcW w:w="1276" w:type="dxa"/>
          </w:tcPr>
          <w:p w14:paraId="2E5A9A43" w14:textId="77777777" w:rsidR="00356193" w:rsidRPr="00B64A59" w:rsidRDefault="00356193" w:rsidP="00356193">
            <w:pPr>
              <w:pStyle w:val="NoSpacing"/>
            </w:pPr>
            <w:r>
              <w:t>Full Target Achieved</w:t>
            </w:r>
          </w:p>
        </w:tc>
        <w:tc>
          <w:tcPr>
            <w:tcW w:w="2290" w:type="dxa"/>
          </w:tcPr>
          <w:p w14:paraId="64DCC7F1" w14:textId="77777777" w:rsidR="00356193" w:rsidRPr="00B64A59" w:rsidRDefault="00356193" w:rsidP="00356193">
            <w:pPr>
              <w:pStyle w:val="NoSpacing"/>
            </w:pPr>
            <w:r w:rsidRPr="00356193">
              <w:t>The remaining targeted children will be monitored after the feeding activities were conducted by end of the feeding cycle. Submission of terminal report is before EO December 2022.</w:t>
            </w:r>
          </w:p>
        </w:tc>
      </w:tr>
      <w:tr w:rsidR="008B7E99" w:rsidRPr="00B42E7B" w14:paraId="31F44860" w14:textId="77777777" w:rsidTr="00253CF4">
        <w:trPr>
          <w:trHeight w:val="291"/>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B6815C3" w14:textId="77777777" w:rsidR="008B7E99" w:rsidRDefault="008B7E99" w:rsidP="008B7E99">
            <w:pPr>
              <w:rPr>
                <w:color w:val="000000"/>
              </w:rPr>
            </w:pPr>
            <w:r>
              <w:rPr>
                <w:color w:val="000000"/>
              </w:rPr>
              <w:t>a. Number of children in CDCs and SNPs with normal nutritional status</w:t>
            </w:r>
            <w:r>
              <w:rPr>
                <w:color w:val="000000"/>
              </w:rPr>
              <w:br/>
              <w:t>(Upon weigh-in, before feeding)</w:t>
            </w:r>
          </w:p>
        </w:tc>
        <w:tc>
          <w:tcPr>
            <w:tcW w:w="1543" w:type="dxa"/>
            <w:tcBorders>
              <w:left w:val="single" w:sz="4" w:space="0" w:color="auto"/>
            </w:tcBorders>
          </w:tcPr>
          <w:p w14:paraId="1317D3FA" w14:textId="77777777" w:rsidR="008B7E99" w:rsidRDefault="008B7E99" w:rsidP="008B7E99">
            <w:pPr>
              <w:pStyle w:val="NoSpacing"/>
              <w:jc w:val="center"/>
            </w:pPr>
            <w:r>
              <w:t>88,194</w:t>
            </w:r>
          </w:p>
        </w:tc>
        <w:tc>
          <w:tcPr>
            <w:tcW w:w="1701" w:type="dxa"/>
          </w:tcPr>
          <w:p w14:paraId="142BD44C" w14:textId="77777777" w:rsidR="008B7E99" w:rsidRDefault="008B7E99" w:rsidP="008B7E99">
            <w:pPr>
              <w:pStyle w:val="NoSpacing"/>
              <w:jc w:val="right"/>
            </w:pPr>
            <w:r>
              <w:t>88,194</w:t>
            </w:r>
          </w:p>
        </w:tc>
        <w:tc>
          <w:tcPr>
            <w:tcW w:w="1275" w:type="dxa"/>
          </w:tcPr>
          <w:p w14:paraId="707C1D1B" w14:textId="77777777" w:rsidR="008B7E99" w:rsidRPr="00B64A59" w:rsidRDefault="008B7E99" w:rsidP="008B7E99">
            <w:pPr>
              <w:pStyle w:val="NoSpacing"/>
              <w:jc w:val="right"/>
            </w:pPr>
            <w:r>
              <w:t>100%</w:t>
            </w:r>
          </w:p>
        </w:tc>
        <w:tc>
          <w:tcPr>
            <w:tcW w:w="1276" w:type="dxa"/>
          </w:tcPr>
          <w:p w14:paraId="6475892C" w14:textId="77777777" w:rsidR="008B7E99" w:rsidRPr="00B64A59" w:rsidRDefault="008B7E99" w:rsidP="008B7E99">
            <w:pPr>
              <w:pStyle w:val="NoSpacing"/>
            </w:pPr>
            <w:r>
              <w:t xml:space="preserve">Full Target Achieved </w:t>
            </w:r>
          </w:p>
        </w:tc>
        <w:tc>
          <w:tcPr>
            <w:tcW w:w="2290" w:type="dxa"/>
          </w:tcPr>
          <w:p w14:paraId="0C1C3A46" w14:textId="77777777" w:rsidR="008B7E99" w:rsidRPr="00B64A59" w:rsidRDefault="008B7E99" w:rsidP="008B7E99">
            <w:pPr>
              <w:pStyle w:val="NoSpacing"/>
            </w:pPr>
          </w:p>
        </w:tc>
      </w:tr>
      <w:tr w:rsidR="008B7E99" w:rsidRPr="00B42E7B" w14:paraId="571791D3" w14:textId="77777777" w:rsidTr="00253CF4">
        <w:trPr>
          <w:trHeight w:val="54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03896684" w14:textId="77777777" w:rsidR="008B7E99" w:rsidRDefault="008B7E99" w:rsidP="008B7E99">
            <w:pPr>
              <w:rPr>
                <w:color w:val="000000"/>
              </w:rPr>
            </w:pPr>
            <w:r>
              <w:rPr>
                <w:color w:val="000000"/>
              </w:rPr>
              <w:t>b. Number of children in CDCs and SNPs with sustained normal nutritional status</w:t>
            </w:r>
            <w:r>
              <w:rPr>
                <w:color w:val="000000"/>
              </w:rPr>
              <w:br/>
              <w:t>(After feeding)</w:t>
            </w:r>
          </w:p>
        </w:tc>
        <w:tc>
          <w:tcPr>
            <w:tcW w:w="1543" w:type="dxa"/>
            <w:tcBorders>
              <w:left w:val="single" w:sz="4" w:space="0" w:color="auto"/>
            </w:tcBorders>
          </w:tcPr>
          <w:p w14:paraId="492E8F0C" w14:textId="77777777" w:rsidR="008B7E99" w:rsidRDefault="008B7E99" w:rsidP="008B7E99">
            <w:pPr>
              <w:pStyle w:val="NoSpacing"/>
              <w:jc w:val="center"/>
            </w:pPr>
            <w:r>
              <w:t>79,375</w:t>
            </w:r>
          </w:p>
        </w:tc>
        <w:tc>
          <w:tcPr>
            <w:tcW w:w="1701" w:type="dxa"/>
          </w:tcPr>
          <w:p w14:paraId="1A32A8F0" w14:textId="77777777" w:rsidR="008B7E99" w:rsidRDefault="008B7E99" w:rsidP="008B7E99">
            <w:pPr>
              <w:pStyle w:val="NoSpacing"/>
              <w:jc w:val="right"/>
            </w:pPr>
            <w:r>
              <w:t>79,375</w:t>
            </w:r>
          </w:p>
        </w:tc>
        <w:tc>
          <w:tcPr>
            <w:tcW w:w="1275" w:type="dxa"/>
          </w:tcPr>
          <w:p w14:paraId="2487B00B" w14:textId="77777777" w:rsidR="008B7E99" w:rsidRPr="00B64A59" w:rsidRDefault="008B7E99" w:rsidP="008B7E99">
            <w:pPr>
              <w:pStyle w:val="NoSpacing"/>
              <w:jc w:val="right"/>
            </w:pPr>
            <w:r>
              <w:t>100%</w:t>
            </w:r>
          </w:p>
        </w:tc>
        <w:tc>
          <w:tcPr>
            <w:tcW w:w="1276" w:type="dxa"/>
          </w:tcPr>
          <w:p w14:paraId="047959F6" w14:textId="77777777" w:rsidR="008B7E99" w:rsidRPr="00B64A59" w:rsidRDefault="008B7E99" w:rsidP="008B7E99">
            <w:pPr>
              <w:pStyle w:val="NoSpacing"/>
            </w:pPr>
            <w:r>
              <w:t xml:space="preserve">Full Target Achieved </w:t>
            </w:r>
          </w:p>
        </w:tc>
        <w:tc>
          <w:tcPr>
            <w:tcW w:w="2290" w:type="dxa"/>
          </w:tcPr>
          <w:p w14:paraId="3E7CDC2D" w14:textId="77777777" w:rsidR="008B7E99" w:rsidRPr="00B64A59" w:rsidRDefault="008B7E99" w:rsidP="008B7E99">
            <w:pPr>
              <w:pStyle w:val="NoSpacing"/>
            </w:pPr>
          </w:p>
        </w:tc>
      </w:tr>
      <w:tr w:rsidR="00356193" w:rsidRPr="00B42E7B" w14:paraId="09C20EAA" w14:textId="77777777" w:rsidTr="0068148D">
        <w:trPr>
          <w:trHeight w:val="336"/>
        </w:trPr>
        <w:tc>
          <w:tcPr>
            <w:tcW w:w="10365" w:type="dxa"/>
            <w:gridSpan w:val="6"/>
            <w:tcBorders>
              <w:top w:val="single" w:sz="4" w:space="0" w:color="auto"/>
              <w:left w:val="single" w:sz="4" w:space="0" w:color="auto"/>
              <w:bottom w:val="single" w:sz="4" w:space="0" w:color="auto"/>
            </w:tcBorders>
            <w:shd w:val="clear" w:color="auto" w:fill="DEEAF6" w:themeFill="accent1" w:themeFillTint="33"/>
            <w:vAlign w:val="center"/>
          </w:tcPr>
          <w:p w14:paraId="3E421F93" w14:textId="77777777" w:rsidR="00356193" w:rsidRPr="005C1DBB" w:rsidRDefault="00356193" w:rsidP="00356193">
            <w:pPr>
              <w:pStyle w:val="NoSpacing"/>
              <w:rPr>
                <w:b/>
              </w:rPr>
            </w:pPr>
            <w:r w:rsidRPr="005C1DBB">
              <w:rPr>
                <w:b/>
                <w:color w:val="000000"/>
              </w:rPr>
              <w:t>Social Welfare for Senior Citizens Sub-Program</w:t>
            </w:r>
          </w:p>
        </w:tc>
      </w:tr>
      <w:tr w:rsidR="00356193" w:rsidRPr="00B42E7B" w14:paraId="320A9602" w14:textId="77777777" w:rsidTr="00253CF4">
        <w:trPr>
          <w:trHeight w:val="54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74B95570" w14:textId="77777777" w:rsidR="00356193" w:rsidRDefault="00356193" w:rsidP="00356193">
            <w:pPr>
              <w:rPr>
                <w:color w:val="000000"/>
              </w:rPr>
            </w:pPr>
            <w:r>
              <w:rPr>
                <w:color w:val="000000"/>
              </w:rPr>
              <w:t xml:space="preserve">2.7. </w:t>
            </w:r>
            <w:r w:rsidRPr="00E10325">
              <w:rPr>
                <w:color w:val="000000"/>
              </w:rPr>
              <w:t>Percentage of beneficiaries using social pension to augment daily living subsistence and medical needs</w:t>
            </w:r>
          </w:p>
        </w:tc>
        <w:tc>
          <w:tcPr>
            <w:tcW w:w="1543" w:type="dxa"/>
            <w:tcBorders>
              <w:left w:val="single" w:sz="4" w:space="0" w:color="auto"/>
            </w:tcBorders>
          </w:tcPr>
          <w:p w14:paraId="050FA70C" w14:textId="77777777" w:rsidR="00356193" w:rsidRDefault="007774F0" w:rsidP="00356193">
            <w:pPr>
              <w:pStyle w:val="NoSpacing"/>
              <w:jc w:val="center"/>
            </w:pPr>
            <w:r>
              <w:t>100%</w:t>
            </w:r>
          </w:p>
        </w:tc>
        <w:tc>
          <w:tcPr>
            <w:tcW w:w="1701" w:type="dxa"/>
          </w:tcPr>
          <w:p w14:paraId="4488267D" w14:textId="77777777" w:rsidR="00356193" w:rsidRDefault="007774F0" w:rsidP="00356193">
            <w:pPr>
              <w:pStyle w:val="NoSpacing"/>
              <w:jc w:val="right"/>
            </w:pPr>
            <w:r>
              <w:t>100%</w:t>
            </w:r>
          </w:p>
        </w:tc>
        <w:tc>
          <w:tcPr>
            <w:tcW w:w="1275" w:type="dxa"/>
          </w:tcPr>
          <w:p w14:paraId="36396CEA" w14:textId="77777777" w:rsidR="00356193" w:rsidRDefault="007774F0" w:rsidP="00356193">
            <w:pPr>
              <w:pStyle w:val="NoSpacing"/>
              <w:jc w:val="right"/>
            </w:pPr>
            <w:r>
              <w:t>100%</w:t>
            </w:r>
          </w:p>
        </w:tc>
        <w:tc>
          <w:tcPr>
            <w:tcW w:w="1276" w:type="dxa"/>
          </w:tcPr>
          <w:p w14:paraId="54142F3D" w14:textId="77777777" w:rsidR="00356193" w:rsidRPr="00B64A59" w:rsidRDefault="007774F0" w:rsidP="00356193">
            <w:pPr>
              <w:pStyle w:val="NoSpacing"/>
            </w:pPr>
            <w:r>
              <w:t>Full Target Achieved</w:t>
            </w:r>
          </w:p>
        </w:tc>
        <w:tc>
          <w:tcPr>
            <w:tcW w:w="2290" w:type="dxa"/>
          </w:tcPr>
          <w:p w14:paraId="25651605" w14:textId="77777777" w:rsidR="00356193" w:rsidRPr="00B64A59" w:rsidRDefault="00356193" w:rsidP="00356193">
            <w:pPr>
              <w:pStyle w:val="NoSpacing"/>
            </w:pPr>
          </w:p>
        </w:tc>
      </w:tr>
      <w:tr w:rsidR="00356193" w:rsidRPr="00B42E7B" w14:paraId="024299F5" w14:textId="77777777" w:rsidTr="00253CF4">
        <w:trPr>
          <w:trHeight w:val="54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5B299C8C" w14:textId="77777777" w:rsidR="00356193" w:rsidRDefault="00356193" w:rsidP="00356193">
            <w:pPr>
              <w:rPr>
                <w:color w:val="000000"/>
              </w:rPr>
            </w:pPr>
            <w:r>
              <w:rPr>
                <w:color w:val="000000"/>
              </w:rPr>
              <w:t xml:space="preserve">2.8. </w:t>
            </w:r>
            <w:r w:rsidRPr="00E10325">
              <w:rPr>
                <w:color w:val="000000"/>
              </w:rPr>
              <w:t>Number of beneficiaries using social pension to augment daily living subsistence and medical needs</w:t>
            </w:r>
          </w:p>
        </w:tc>
        <w:tc>
          <w:tcPr>
            <w:tcW w:w="1543" w:type="dxa"/>
            <w:tcBorders>
              <w:left w:val="single" w:sz="4" w:space="0" w:color="auto"/>
            </w:tcBorders>
          </w:tcPr>
          <w:p w14:paraId="66678E2F" w14:textId="77777777" w:rsidR="00356193" w:rsidRDefault="00356193" w:rsidP="00356193">
            <w:pPr>
              <w:pStyle w:val="NoSpacing"/>
              <w:jc w:val="center"/>
            </w:pPr>
          </w:p>
        </w:tc>
        <w:tc>
          <w:tcPr>
            <w:tcW w:w="1701" w:type="dxa"/>
          </w:tcPr>
          <w:p w14:paraId="2DC68D6C" w14:textId="77777777" w:rsidR="00356193" w:rsidRDefault="00356193" w:rsidP="00356193">
            <w:pPr>
              <w:pStyle w:val="NoSpacing"/>
              <w:jc w:val="right"/>
            </w:pPr>
          </w:p>
        </w:tc>
        <w:tc>
          <w:tcPr>
            <w:tcW w:w="1275" w:type="dxa"/>
          </w:tcPr>
          <w:p w14:paraId="352C34BD" w14:textId="77777777" w:rsidR="00356193" w:rsidRDefault="00356193" w:rsidP="00356193">
            <w:pPr>
              <w:pStyle w:val="NoSpacing"/>
              <w:jc w:val="right"/>
            </w:pPr>
          </w:p>
        </w:tc>
        <w:tc>
          <w:tcPr>
            <w:tcW w:w="1276" w:type="dxa"/>
          </w:tcPr>
          <w:p w14:paraId="7BEFFB97" w14:textId="77777777" w:rsidR="00356193" w:rsidRPr="00B64A59" w:rsidRDefault="00356193" w:rsidP="00356193">
            <w:pPr>
              <w:pStyle w:val="NoSpacing"/>
            </w:pPr>
          </w:p>
        </w:tc>
        <w:tc>
          <w:tcPr>
            <w:tcW w:w="2290" w:type="dxa"/>
          </w:tcPr>
          <w:p w14:paraId="4093D441" w14:textId="77777777" w:rsidR="00356193" w:rsidRPr="00B64A59" w:rsidRDefault="00356193" w:rsidP="00356193">
            <w:pPr>
              <w:pStyle w:val="NoSpacing"/>
            </w:pPr>
          </w:p>
        </w:tc>
      </w:tr>
      <w:tr w:rsidR="00356193" w:rsidRPr="00B42E7B" w14:paraId="6AF0F924" w14:textId="77777777" w:rsidTr="0068148D">
        <w:trPr>
          <w:trHeight w:val="157"/>
        </w:trPr>
        <w:tc>
          <w:tcPr>
            <w:tcW w:w="10365" w:type="dxa"/>
            <w:gridSpan w:val="6"/>
            <w:tcBorders>
              <w:top w:val="single" w:sz="4" w:space="0" w:color="auto"/>
              <w:left w:val="single" w:sz="4" w:space="0" w:color="auto"/>
              <w:bottom w:val="single" w:sz="4" w:space="0" w:color="auto"/>
            </w:tcBorders>
            <w:shd w:val="clear" w:color="auto" w:fill="DEEAF6" w:themeFill="accent1" w:themeFillTint="33"/>
            <w:vAlign w:val="center"/>
          </w:tcPr>
          <w:p w14:paraId="50190566" w14:textId="77777777" w:rsidR="00356193" w:rsidRPr="00265FD2" w:rsidRDefault="00356193" w:rsidP="00356193">
            <w:pPr>
              <w:pStyle w:val="NoSpacing"/>
              <w:rPr>
                <w:b/>
              </w:rPr>
            </w:pPr>
            <w:r w:rsidRPr="00265FD2">
              <w:rPr>
                <w:b/>
                <w:color w:val="000000"/>
              </w:rPr>
              <w:t>Protective Program for Individuals, Families</w:t>
            </w:r>
            <w:r>
              <w:rPr>
                <w:b/>
                <w:color w:val="000000"/>
              </w:rPr>
              <w:t>,</w:t>
            </w:r>
            <w:r w:rsidRPr="00265FD2">
              <w:rPr>
                <w:b/>
                <w:color w:val="000000"/>
              </w:rPr>
              <w:t xml:space="preserve"> and Communities in Need or Crisis Sub-Program</w:t>
            </w:r>
          </w:p>
        </w:tc>
      </w:tr>
      <w:tr w:rsidR="007774F0" w:rsidRPr="00B42E7B" w14:paraId="0309D536" w14:textId="77777777" w:rsidTr="00253CF4">
        <w:trPr>
          <w:trHeight w:val="54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3992B7D0" w14:textId="77777777" w:rsidR="007774F0" w:rsidRDefault="007774F0" w:rsidP="007774F0">
            <w:pPr>
              <w:rPr>
                <w:color w:val="000000"/>
              </w:rPr>
            </w:pPr>
            <w:r>
              <w:rPr>
                <w:color w:val="000000"/>
              </w:rPr>
              <w:t xml:space="preserve">2.11. Percentage of clients who rated protective services provided as satisfactory or better </w:t>
            </w:r>
            <w:r>
              <w:rPr>
                <w:color w:val="000000"/>
              </w:rPr>
              <w:br/>
            </w:r>
            <w:r>
              <w:rPr>
                <w:b/>
                <w:bCs/>
                <w:color w:val="000000"/>
              </w:rPr>
              <w:t>(AICS)</w:t>
            </w:r>
          </w:p>
        </w:tc>
        <w:tc>
          <w:tcPr>
            <w:tcW w:w="1543" w:type="dxa"/>
            <w:tcBorders>
              <w:left w:val="single" w:sz="4" w:space="0" w:color="auto"/>
            </w:tcBorders>
            <w:shd w:val="clear" w:color="auto" w:fill="FFFFFF" w:themeFill="background1"/>
          </w:tcPr>
          <w:p w14:paraId="4CA28964" w14:textId="77777777" w:rsidR="007774F0" w:rsidRPr="007774F0" w:rsidRDefault="007774F0" w:rsidP="007774F0">
            <w:pPr>
              <w:pStyle w:val="NoSpacing"/>
              <w:jc w:val="center"/>
            </w:pPr>
            <w:r w:rsidRPr="007774F0">
              <w:t>100%</w:t>
            </w:r>
          </w:p>
        </w:tc>
        <w:tc>
          <w:tcPr>
            <w:tcW w:w="1701" w:type="dxa"/>
            <w:tcBorders>
              <w:left w:val="single" w:sz="4" w:space="0" w:color="auto"/>
            </w:tcBorders>
            <w:shd w:val="clear" w:color="auto" w:fill="FFFFFF" w:themeFill="background1"/>
          </w:tcPr>
          <w:p w14:paraId="127DB193" w14:textId="77777777" w:rsidR="007774F0" w:rsidRPr="007774F0" w:rsidRDefault="007774F0" w:rsidP="007774F0">
            <w:pPr>
              <w:pStyle w:val="NoSpacing"/>
              <w:jc w:val="center"/>
            </w:pPr>
            <w:r w:rsidRPr="007774F0">
              <w:t>100%</w:t>
            </w:r>
          </w:p>
        </w:tc>
        <w:tc>
          <w:tcPr>
            <w:tcW w:w="1275" w:type="dxa"/>
            <w:shd w:val="clear" w:color="auto" w:fill="FFFFFF" w:themeFill="background1"/>
          </w:tcPr>
          <w:p w14:paraId="7B120B9F" w14:textId="77777777" w:rsidR="007774F0" w:rsidRPr="007774F0" w:rsidRDefault="007774F0" w:rsidP="007774F0">
            <w:pPr>
              <w:pStyle w:val="NoSpacing"/>
              <w:jc w:val="center"/>
            </w:pPr>
            <w:r w:rsidRPr="007774F0">
              <w:t>100%</w:t>
            </w:r>
          </w:p>
        </w:tc>
        <w:tc>
          <w:tcPr>
            <w:tcW w:w="1276" w:type="dxa"/>
            <w:shd w:val="clear" w:color="auto" w:fill="FFFFFF" w:themeFill="background1"/>
          </w:tcPr>
          <w:p w14:paraId="7E54CDF1" w14:textId="77777777" w:rsidR="007774F0" w:rsidRPr="007774F0" w:rsidRDefault="007774F0" w:rsidP="007774F0">
            <w:r w:rsidRPr="007774F0">
              <w:t>Full Target Achieved</w:t>
            </w:r>
          </w:p>
        </w:tc>
        <w:tc>
          <w:tcPr>
            <w:tcW w:w="2290" w:type="dxa"/>
            <w:shd w:val="clear" w:color="auto" w:fill="FFFFFF" w:themeFill="background1"/>
          </w:tcPr>
          <w:p w14:paraId="166D8812" w14:textId="77777777" w:rsidR="007774F0" w:rsidRPr="00B41687" w:rsidRDefault="007774F0" w:rsidP="007774F0">
            <w:pPr>
              <w:pStyle w:val="NoSpacing"/>
            </w:pPr>
          </w:p>
        </w:tc>
      </w:tr>
      <w:tr w:rsidR="007774F0" w:rsidRPr="00B42E7B" w14:paraId="5F146EA2" w14:textId="77777777" w:rsidTr="00253CF4">
        <w:trPr>
          <w:trHeight w:val="54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B4534B6" w14:textId="77777777" w:rsidR="007774F0" w:rsidRDefault="007774F0" w:rsidP="007774F0">
            <w:pPr>
              <w:rPr>
                <w:color w:val="000000"/>
              </w:rPr>
            </w:pPr>
            <w:r>
              <w:rPr>
                <w:color w:val="000000"/>
              </w:rPr>
              <w:lastRenderedPageBreak/>
              <w:t xml:space="preserve">2.12. Percentage of clients who rated protective services provided as satisfactory or better </w:t>
            </w:r>
            <w:r>
              <w:rPr>
                <w:color w:val="000000"/>
              </w:rPr>
              <w:br/>
            </w:r>
            <w:r>
              <w:rPr>
                <w:b/>
                <w:bCs/>
                <w:color w:val="000000"/>
              </w:rPr>
              <w:t>(Minors Travelling Abroad)</w:t>
            </w:r>
          </w:p>
        </w:tc>
        <w:tc>
          <w:tcPr>
            <w:tcW w:w="1543" w:type="dxa"/>
            <w:tcBorders>
              <w:left w:val="single" w:sz="4" w:space="0" w:color="auto"/>
            </w:tcBorders>
            <w:shd w:val="clear" w:color="auto" w:fill="FFFFFF" w:themeFill="background1"/>
          </w:tcPr>
          <w:p w14:paraId="1903F786" w14:textId="77777777" w:rsidR="007774F0" w:rsidRPr="007774F0" w:rsidRDefault="007774F0" w:rsidP="007774F0">
            <w:pPr>
              <w:pStyle w:val="NoSpacing"/>
              <w:jc w:val="center"/>
            </w:pPr>
            <w:r w:rsidRPr="007774F0">
              <w:t>100%</w:t>
            </w:r>
          </w:p>
        </w:tc>
        <w:tc>
          <w:tcPr>
            <w:tcW w:w="1701" w:type="dxa"/>
            <w:tcBorders>
              <w:left w:val="single" w:sz="4" w:space="0" w:color="auto"/>
            </w:tcBorders>
            <w:shd w:val="clear" w:color="auto" w:fill="FFFFFF" w:themeFill="background1"/>
          </w:tcPr>
          <w:p w14:paraId="483B8C26" w14:textId="77777777" w:rsidR="007774F0" w:rsidRPr="007774F0" w:rsidRDefault="007774F0" w:rsidP="007774F0">
            <w:pPr>
              <w:pStyle w:val="NoSpacing"/>
              <w:jc w:val="center"/>
            </w:pPr>
            <w:r w:rsidRPr="007774F0">
              <w:t>100%</w:t>
            </w:r>
          </w:p>
        </w:tc>
        <w:tc>
          <w:tcPr>
            <w:tcW w:w="1275" w:type="dxa"/>
            <w:shd w:val="clear" w:color="auto" w:fill="FFFFFF" w:themeFill="background1"/>
          </w:tcPr>
          <w:p w14:paraId="2F7C57AF" w14:textId="77777777" w:rsidR="007774F0" w:rsidRPr="007774F0" w:rsidRDefault="007774F0" w:rsidP="007774F0">
            <w:pPr>
              <w:pStyle w:val="NoSpacing"/>
              <w:jc w:val="center"/>
            </w:pPr>
            <w:r w:rsidRPr="007774F0">
              <w:t>100%</w:t>
            </w:r>
          </w:p>
        </w:tc>
        <w:tc>
          <w:tcPr>
            <w:tcW w:w="1276" w:type="dxa"/>
            <w:shd w:val="clear" w:color="auto" w:fill="FFFFFF" w:themeFill="background1"/>
          </w:tcPr>
          <w:p w14:paraId="503CB229" w14:textId="77777777" w:rsidR="007774F0" w:rsidRPr="007774F0" w:rsidRDefault="007774F0" w:rsidP="007774F0">
            <w:r w:rsidRPr="007774F0">
              <w:t>Full Target Achieved</w:t>
            </w:r>
          </w:p>
        </w:tc>
        <w:tc>
          <w:tcPr>
            <w:tcW w:w="2290" w:type="dxa"/>
            <w:shd w:val="clear" w:color="auto" w:fill="FFFFFF" w:themeFill="background1"/>
          </w:tcPr>
          <w:p w14:paraId="438BA3B7" w14:textId="77777777" w:rsidR="007774F0" w:rsidRPr="007774F0" w:rsidRDefault="007774F0" w:rsidP="007774F0">
            <w:pPr>
              <w:pStyle w:val="NoSpacing"/>
              <w:rPr>
                <w:b/>
              </w:rPr>
            </w:pPr>
            <w:r w:rsidRPr="007774F0">
              <w:rPr>
                <w:color w:val="000000"/>
                <w:shd w:val="clear" w:color="auto" w:fill="FFFFFF"/>
              </w:rPr>
              <w:t>Continuous issuance of Travel Clearance to minors traveling abroad with no complaints.</w:t>
            </w:r>
          </w:p>
        </w:tc>
      </w:tr>
      <w:tr w:rsidR="007774F0" w:rsidRPr="00B42E7B" w14:paraId="49B569B0" w14:textId="77777777" w:rsidTr="0068148D">
        <w:trPr>
          <w:trHeight w:val="39"/>
        </w:trPr>
        <w:tc>
          <w:tcPr>
            <w:tcW w:w="10365" w:type="dxa"/>
            <w:gridSpan w:val="6"/>
            <w:tcBorders>
              <w:top w:val="single" w:sz="4" w:space="0" w:color="auto"/>
              <w:left w:val="single" w:sz="4" w:space="0" w:color="auto"/>
              <w:bottom w:val="single" w:sz="4" w:space="0" w:color="auto"/>
            </w:tcBorders>
            <w:shd w:val="clear" w:color="auto" w:fill="DEEAF6" w:themeFill="accent1" w:themeFillTint="33"/>
            <w:vAlign w:val="bottom"/>
          </w:tcPr>
          <w:p w14:paraId="2DE51DCF" w14:textId="77777777" w:rsidR="007774F0" w:rsidRPr="00BF0533" w:rsidRDefault="007774F0" w:rsidP="007774F0">
            <w:pPr>
              <w:pStyle w:val="NoSpacing"/>
              <w:rPr>
                <w:b/>
              </w:rPr>
            </w:pPr>
            <w:r w:rsidRPr="00BF0533">
              <w:rPr>
                <w:b/>
                <w:color w:val="000000"/>
              </w:rPr>
              <w:t>Social Welfare for Distressed Overseas Filipinos and Trafficked Persons Sub-Program</w:t>
            </w:r>
          </w:p>
        </w:tc>
      </w:tr>
      <w:tr w:rsidR="007774F0" w:rsidRPr="00B42E7B" w14:paraId="7B961526" w14:textId="77777777" w:rsidTr="00253CF4">
        <w:trPr>
          <w:trHeight w:val="549"/>
        </w:trPr>
        <w:tc>
          <w:tcPr>
            <w:tcW w:w="2280" w:type="dxa"/>
            <w:tcBorders>
              <w:bottom w:val="single" w:sz="4" w:space="0" w:color="auto"/>
            </w:tcBorders>
            <w:shd w:val="clear" w:color="auto" w:fill="FFFFFF" w:themeFill="background1"/>
          </w:tcPr>
          <w:p w14:paraId="4FA45675" w14:textId="77777777" w:rsidR="007774F0" w:rsidRPr="00F63B8F" w:rsidRDefault="007774F0" w:rsidP="007774F0">
            <w:pPr>
              <w:pStyle w:val="NoSpacing"/>
            </w:pPr>
            <w:r>
              <w:t xml:space="preserve">2.16. </w:t>
            </w:r>
            <w:r w:rsidRPr="00F63B8F">
              <w:t>Percentage of assisted individuals who are reintegrated to their families and communities</w:t>
            </w:r>
          </w:p>
        </w:tc>
        <w:tc>
          <w:tcPr>
            <w:tcW w:w="1543" w:type="dxa"/>
            <w:shd w:val="clear" w:color="auto" w:fill="FFFFFF" w:themeFill="background1"/>
          </w:tcPr>
          <w:p w14:paraId="6E95B851" w14:textId="77777777" w:rsidR="007774F0" w:rsidRPr="007774F0" w:rsidRDefault="007774F0" w:rsidP="007774F0">
            <w:pPr>
              <w:pStyle w:val="NoSpacing"/>
              <w:jc w:val="center"/>
            </w:pPr>
          </w:p>
        </w:tc>
        <w:tc>
          <w:tcPr>
            <w:tcW w:w="1701" w:type="dxa"/>
            <w:shd w:val="clear" w:color="auto" w:fill="FFFFFF" w:themeFill="background1"/>
          </w:tcPr>
          <w:p w14:paraId="00CCF843" w14:textId="77777777" w:rsidR="007774F0" w:rsidRPr="007774F0" w:rsidRDefault="007774F0" w:rsidP="007774F0">
            <w:pPr>
              <w:pStyle w:val="NoSpacing"/>
              <w:jc w:val="center"/>
            </w:pPr>
          </w:p>
        </w:tc>
        <w:tc>
          <w:tcPr>
            <w:tcW w:w="1275" w:type="dxa"/>
            <w:shd w:val="clear" w:color="auto" w:fill="FFFFFF" w:themeFill="background1"/>
          </w:tcPr>
          <w:p w14:paraId="525CC721" w14:textId="77777777" w:rsidR="007774F0" w:rsidRPr="007774F0" w:rsidRDefault="007774F0" w:rsidP="007774F0">
            <w:pPr>
              <w:pStyle w:val="NoSpacing"/>
              <w:jc w:val="center"/>
            </w:pPr>
          </w:p>
        </w:tc>
        <w:tc>
          <w:tcPr>
            <w:tcW w:w="1276" w:type="dxa"/>
            <w:shd w:val="clear" w:color="auto" w:fill="FFFFFF" w:themeFill="background1"/>
          </w:tcPr>
          <w:p w14:paraId="4C501DF2" w14:textId="77777777" w:rsidR="007774F0" w:rsidRPr="007774F0" w:rsidRDefault="007774F0" w:rsidP="007774F0"/>
        </w:tc>
        <w:tc>
          <w:tcPr>
            <w:tcW w:w="2290" w:type="dxa"/>
            <w:shd w:val="clear" w:color="auto" w:fill="FFFFFF" w:themeFill="background1"/>
          </w:tcPr>
          <w:p w14:paraId="3899B3DE" w14:textId="77777777" w:rsidR="007774F0" w:rsidRPr="007774F0" w:rsidRDefault="007774F0" w:rsidP="007774F0">
            <w:pPr>
              <w:pStyle w:val="NoSpacing"/>
              <w:rPr>
                <w:b/>
                <w:sz w:val="20"/>
                <w:szCs w:val="20"/>
              </w:rPr>
            </w:pPr>
          </w:p>
        </w:tc>
      </w:tr>
      <w:tr w:rsidR="007774F0" w:rsidRPr="00B42E7B" w14:paraId="2CB43E82" w14:textId="77777777" w:rsidTr="00253CF4">
        <w:trPr>
          <w:trHeight w:val="549"/>
        </w:trPr>
        <w:tc>
          <w:tcPr>
            <w:tcW w:w="2280" w:type="dxa"/>
            <w:tcBorders>
              <w:bottom w:val="single" w:sz="4" w:space="0" w:color="auto"/>
            </w:tcBorders>
            <w:shd w:val="clear" w:color="auto" w:fill="FFFFFF" w:themeFill="background1"/>
          </w:tcPr>
          <w:p w14:paraId="47B65A46" w14:textId="77777777" w:rsidR="007774F0" w:rsidRPr="00F63B8F" w:rsidRDefault="007774F0" w:rsidP="007774F0">
            <w:pPr>
              <w:pStyle w:val="NoSpacing"/>
            </w:pPr>
            <w:r>
              <w:rPr>
                <w:rFonts w:ascii="Helvetica" w:hAnsi="Helvetica" w:cs="Helvetica"/>
                <w:color w:val="000000"/>
                <w:szCs w:val="20"/>
                <w:shd w:val="clear" w:color="auto" w:fill="FFFFFF"/>
              </w:rPr>
              <w:t xml:space="preserve">a. </w:t>
            </w:r>
            <w:r w:rsidRPr="00F63B8F">
              <w:rPr>
                <w:rFonts w:ascii="Helvetica" w:hAnsi="Helvetica" w:cs="Helvetica"/>
                <w:color w:val="000000"/>
                <w:szCs w:val="20"/>
                <w:shd w:val="clear" w:color="auto" w:fill="FFFFFF"/>
              </w:rPr>
              <w:t>Trafficked Persons</w:t>
            </w:r>
          </w:p>
        </w:tc>
        <w:tc>
          <w:tcPr>
            <w:tcW w:w="1543" w:type="dxa"/>
            <w:shd w:val="clear" w:color="auto" w:fill="FFFFFF" w:themeFill="background1"/>
          </w:tcPr>
          <w:p w14:paraId="39B218DB" w14:textId="77777777" w:rsidR="007774F0" w:rsidRPr="007774F0" w:rsidRDefault="007774F0" w:rsidP="007774F0">
            <w:pPr>
              <w:pStyle w:val="NoSpacing"/>
              <w:jc w:val="center"/>
            </w:pPr>
            <w:r w:rsidRPr="007774F0">
              <w:t>100%</w:t>
            </w:r>
          </w:p>
        </w:tc>
        <w:tc>
          <w:tcPr>
            <w:tcW w:w="1701" w:type="dxa"/>
            <w:shd w:val="clear" w:color="auto" w:fill="FFFFFF" w:themeFill="background1"/>
          </w:tcPr>
          <w:p w14:paraId="007052D8" w14:textId="77777777" w:rsidR="007774F0" w:rsidRPr="007774F0" w:rsidRDefault="007774F0" w:rsidP="007774F0">
            <w:pPr>
              <w:pStyle w:val="NoSpacing"/>
              <w:jc w:val="center"/>
            </w:pPr>
            <w:r w:rsidRPr="007774F0">
              <w:t>100%</w:t>
            </w:r>
          </w:p>
        </w:tc>
        <w:tc>
          <w:tcPr>
            <w:tcW w:w="1275" w:type="dxa"/>
            <w:shd w:val="clear" w:color="auto" w:fill="FFFFFF" w:themeFill="background1"/>
          </w:tcPr>
          <w:p w14:paraId="7026CE4E" w14:textId="77777777" w:rsidR="007774F0" w:rsidRPr="007774F0" w:rsidRDefault="007774F0" w:rsidP="007774F0">
            <w:pPr>
              <w:pStyle w:val="NoSpacing"/>
              <w:jc w:val="center"/>
            </w:pPr>
            <w:r w:rsidRPr="007774F0">
              <w:t>100%</w:t>
            </w:r>
          </w:p>
        </w:tc>
        <w:tc>
          <w:tcPr>
            <w:tcW w:w="1276" w:type="dxa"/>
            <w:shd w:val="clear" w:color="auto" w:fill="FFFFFF" w:themeFill="background1"/>
          </w:tcPr>
          <w:p w14:paraId="1BC57C20" w14:textId="77777777" w:rsidR="007774F0" w:rsidRDefault="007774F0" w:rsidP="007774F0">
            <w:r w:rsidRPr="008D6B87">
              <w:t>Full Target Achieved</w:t>
            </w:r>
          </w:p>
        </w:tc>
        <w:tc>
          <w:tcPr>
            <w:tcW w:w="2290" w:type="dxa"/>
            <w:shd w:val="clear" w:color="auto" w:fill="FFFFFF" w:themeFill="background1"/>
          </w:tcPr>
          <w:p w14:paraId="0237AB53" w14:textId="77777777" w:rsidR="007774F0" w:rsidRPr="00F63B8F" w:rsidRDefault="007774F0" w:rsidP="007774F0">
            <w:pPr>
              <w:pStyle w:val="NoSpacing"/>
            </w:pPr>
          </w:p>
        </w:tc>
      </w:tr>
      <w:tr w:rsidR="007774F0" w:rsidRPr="00B42E7B" w14:paraId="710D691E" w14:textId="77777777" w:rsidTr="00253CF4">
        <w:trPr>
          <w:trHeight w:val="549"/>
        </w:trPr>
        <w:tc>
          <w:tcPr>
            <w:tcW w:w="2280" w:type="dxa"/>
            <w:tcBorders>
              <w:bottom w:val="single" w:sz="4" w:space="0" w:color="auto"/>
            </w:tcBorders>
            <w:shd w:val="clear" w:color="auto" w:fill="FFFFFF" w:themeFill="background1"/>
          </w:tcPr>
          <w:p w14:paraId="19CED347" w14:textId="77777777" w:rsidR="007774F0" w:rsidRPr="00F63B8F" w:rsidRDefault="007774F0" w:rsidP="007774F0">
            <w:pPr>
              <w:pStyle w:val="NoSpacing"/>
            </w:pPr>
            <w:r>
              <w:rPr>
                <w:color w:val="000000"/>
                <w:szCs w:val="23"/>
                <w:shd w:val="clear" w:color="auto" w:fill="FFFFFF"/>
              </w:rPr>
              <w:t xml:space="preserve">b. </w:t>
            </w:r>
            <w:r w:rsidRPr="00F63B8F">
              <w:rPr>
                <w:color w:val="000000"/>
                <w:szCs w:val="23"/>
                <w:shd w:val="clear" w:color="auto" w:fill="FFFFFF"/>
              </w:rPr>
              <w:t>Distressed Overseas Filipinos and Families</w:t>
            </w:r>
          </w:p>
        </w:tc>
        <w:tc>
          <w:tcPr>
            <w:tcW w:w="1543" w:type="dxa"/>
            <w:shd w:val="clear" w:color="auto" w:fill="FFFFFF" w:themeFill="background1"/>
          </w:tcPr>
          <w:p w14:paraId="2E8C114D" w14:textId="77777777" w:rsidR="007774F0" w:rsidRPr="007774F0" w:rsidRDefault="007774F0" w:rsidP="007774F0">
            <w:pPr>
              <w:pStyle w:val="NoSpacing"/>
              <w:jc w:val="center"/>
            </w:pPr>
            <w:r w:rsidRPr="007774F0">
              <w:t>100%</w:t>
            </w:r>
          </w:p>
        </w:tc>
        <w:tc>
          <w:tcPr>
            <w:tcW w:w="1701" w:type="dxa"/>
            <w:shd w:val="clear" w:color="auto" w:fill="FFFFFF" w:themeFill="background1"/>
          </w:tcPr>
          <w:p w14:paraId="4E808DE4" w14:textId="77777777" w:rsidR="007774F0" w:rsidRPr="007774F0" w:rsidRDefault="007774F0" w:rsidP="007774F0">
            <w:pPr>
              <w:pStyle w:val="NoSpacing"/>
              <w:jc w:val="center"/>
            </w:pPr>
            <w:r w:rsidRPr="007774F0">
              <w:t>100%</w:t>
            </w:r>
          </w:p>
        </w:tc>
        <w:tc>
          <w:tcPr>
            <w:tcW w:w="1275" w:type="dxa"/>
            <w:shd w:val="clear" w:color="auto" w:fill="FFFFFF" w:themeFill="background1"/>
          </w:tcPr>
          <w:p w14:paraId="34D03247" w14:textId="77777777" w:rsidR="007774F0" w:rsidRPr="007774F0" w:rsidRDefault="007774F0" w:rsidP="007774F0">
            <w:pPr>
              <w:pStyle w:val="NoSpacing"/>
              <w:jc w:val="center"/>
            </w:pPr>
            <w:r w:rsidRPr="007774F0">
              <w:t>100%</w:t>
            </w:r>
          </w:p>
        </w:tc>
        <w:tc>
          <w:tcPr>
            <w:tcW w:w="1276" w:type="dxa"/>
            <w:shd w:val="clear" w:color="auto" w:fill="FFFFFF" w:themeFill="background1"/>
          </w:tcPr>
          <w:p w14:paraId="3225AE74" w14:textId="77777777" w:rsidR="007774F0" w:rsidRDefault="007774F0" w:rsidP="007774F0">
            <w:r w:rsidRPr="008D6B87">
              <w:t>Full Target Achieved</w:t>
            </w:r>
          </w:p>
        </w:tc>
        <w:tc>
          <w:tcPr>
            <w:tcW w:w="2290" w:type="dxa"/>
            <w:shd w:val="clear" w:color="auto" w:fill="FFFFFF" w:themeFill="background1"/>
          </w:tcPr>
          <w:p w14:paraId="6AA257C1" w14:textId="77777777" w:rsidR="007774F0" w:rsidRPr="002D57EA" w:rsidRDefault="00AA27CC" w:rsidP="007774F0">
            <w:pPr>
              <w:pStyle w:val="NoSpacing"/>
              <w:rPr>
                <w:b/>
              </w:rPr>
            </w:pPr>
            <w:r w:rsidRPr="00AA27CC">
              <w:rPr>
                <w:color w:val="000000"/>
                <w:sz w:val="20"/>
                <w:szCs w:val="11"/>
                <w:shd w:val="clear" w:color="auto" w:fill="FFFFFF"/>
              </w:rPr>
              <w:t>Limited number of walk-in and referred clients under ISSO</w:t>
            </w:r>
          </w:p>
        </w:tc>
      </w:tr>
      <w:tr w:rsidR="007774F0" w:rsidRPr="00B42E7B" w14:paraId="07F0E69D" w14:textId="77777777" w:rsidTr="0068148D">
        <w:trPr>
          <w:trHeight w:val="295"/>
        </w:trPr>
        <w:tc>
          <w:tcPr>
            <w:tcW w:w="10365" w:type="dxa"/>
            <w:gridSpan w:val="6"/>
            <w:tcBorders>
              <w:bottom w:val="single" w:sz="4" w:space="0" w:color="auto"/>
            </w:tcBorders>
            <w:shd w:val="clear" w:color="auto" w:fill="FBE4D5" w:themeFill="accent2" w:themeFillTint="33"/>
          </w:tcPr>
          <w:p w14:paraId="2A869438" w14:textId="77777777" w:rsidR="007774F0" w:rsidRPr="005F6194" w:rsidRDefault="007774F0" w:rsidP="007774F0">
            <w:pPr>
              <w:pStyle w:val="NoSpacing"/>
              <w:rPr>
                <w:b/>
              </w:rPr>
            </w:pPr>
            <w:r w:rsidRPr="005F6194">
              <w:rPr>
                <w:b/>
              </w:rPr>
              <w:t>Organizational Outcome 3: Immediate Relief And Early Recovery Of Disaster Victims/Survivors Ensured</w:t>
            </w:r>
          </w:p>
        </w:tc>
      </w:tr>
      <w:tr w:rsidR="007774F0" w:rsidRPr="00B42E7B" w14:paraId="0784BF04" w14:textId="77777777" w:rsidTr="0068148D">
        <w:trPr>
          <w:trHeight w:val="295"/>
        </w:trPr>
        <w:tc>
          <w:tcPr>
            <w:tcW w:w="10365" w:type="dxa"/>
            <w:gridSpan w:val="6"/>
            <w:tcBorders>
              <w:bottom w:val="single" w:sz="4" w:space="0" w:color="auto"/>
            </w:tcBorders>
            <w:shd w:val="clear" w:color="auto" w:fill="DEEAF6" w:themeFill="accent1" w:themeFillTint="33"/>
          </w:tcPr>
          <w:p w14:paraId="3FCBC657" w14:textId="77777777" w:rsidR="007774F0" w:rsidRPr="005F6194" w:rsidRDefault="007774F0" w:rsidP="007774F0">
            <w:pPr>
              <w:pStyle w:val="NoSpacing"/>
              <w:rPr>
                <w:b/>
              </w:rPr>
            </w:pPr>
            <w:r w:rsidRPr="005F6194">
              <w:rPr>
                <w:b/>
              </w:rPr>
              <w:t>Disaster Response And Management Program</w:t>
            </w:r>
          </w:p>
        </w:tc>
      </w:tr>
      <w:tr w:rsidR="007774F0" w:rsidRPr="00B42E7B" w14:paraId="4E675EAC" w14:textId="77777777" w:rsidTr="00253CF4">
        <w:trPr>
          <w:trHeight w:val="295"/>
        </w:trPr>
        <w:tc>
          <w:tcPr>
            <w:tcW w:w="2280" w:type="dxa"/>
            <w:tcBorders>
              <w:bottom w:val="single" w:sz="4" w:space="0" w:color="auto"/>
            </w:tcBorders>
            <w:shd w:val="clear" w:color="auto" w:fill="FFFFFF" w:themeFill="background1"/>
          </w:tcPr>
          <w:p w14:paraId="0AA0B3E7" w14:textId="77777777" w:rsidR="007774F0" w:rsidRPr="00E658B9" w:rsidRDefault="007774F0" w:rsidP="007774F0">
            <w:pPr>
              <w:pStyle w:val="NoSpacing"/>
            </w:pPr>
            <w:r>
              <w:t xml:space="preserve">3.1. </w:t>
            </w:r>
            <w:r w:rsidRPr="005F6194">
              <w:t>Percentage of disaster-affected households assisted to early recovery stage</w:t>
            </w:r>
          </w:p>
        </w:tc>
        <w:tc>
          <w:tcPr>
            <w:tcW w:w="1543" w:type="dxa"/>
            <w:shd w:val="clear" w:color="auto" w:fill="FFFFFF" w:themeFill="background1"/>
          </w:tcPr>
          <w:p w14:paraId="52226847" w14:textId="77777777" w:rsidR="007774F0" w:rsidRPr="00E658B9" w:rsidRDefault="00EC5583" w:rsidP="007774F0">
            <w:pPr>
              <w:pStyle w:val="NoSpacing"/>
              <w:jc w:val="center"/>
            </w:pPr>
            <w:r>
              <w:t>ANA</w:t>
            </w:r>
          </w:p>
        </w:tc>
        <w:tc>
          <w:tcPr>
            <w:tcW w:w="1701" w:type="dxa"/>
            <w:shd w:val="clear" w:color="auto" w:fill="FFFFFF" w:themeFill="background1"/>
          </w:tcPr>
          <w:p w14:paraId="0D0750F3" w14:textId="77777777" w:rsidR="007774F0" w:rsidRPr="00E658B9" w:rsidRDefault="00EC5583" w:rsidP="007774F0">
            <w:pPr>
              <w:pStyle w:val="NoSpacing"/>
              <w:jc w:val="center"/>
            </w:pPr>
            <w:r>
              <w:t>100% (16</w:t>
            </w:r>
            <w:r w:rsidR="009B7B05">
              <w:t>,290)</w:t>
            </w:r>
          </w:p>
        </w:tc>
        <w:tc>
          <w:tcPr>
            <w:tcW w:w="1275" w:type="dxa"/>
            <w:shd w:val="clear" w:color="auto" w:fill="FFFFFF" w:themeFill="background1"/>
          </w:tcPr>
          <w:p w14:paraId="6CB935FE" w14:textId="77777777" w:rsidR="007774F0" w:rsidRPr="00F63B8F" w:rsidRDefault="009B7B05" w:rsidP="007774F0">
            <w:pPr>
              <w:pStyle w:val="NoSpacing"/>
            </w:pPr>
            <w:r>
              <w:t>100% (16,290)</w:t>
            </w:r>
          </w:p>
        </w:tc>
        <w:tc>
          <w:tcPr>
            <w:tcW w:w="1276" w:type="dxa"/>
            <w:shd w:val="clear" w:color="auto" w:fill="FFFFFF" w:themeFill="background1"/>
          </w:tcPr>
          <w:p w14:paraId="18594890" w14:textId="77777777" w:rsidR="007774F0" w:rsidRDefault="009B7B05" w:rsidP="007774F0">
            <w:pPr>
              <w:pStyle w:val="NoSpacing"/>
            </w:pPr>
            <w:r w:rsidRPr="008D6B87">
              <w:t>Full Target Achieved</w:t>
            </w:r>
          </w:p>
        </w:tc>
        <w:tc>
          <w:tcPr>
            <w:tcW w:w="2290" w:type="dxa"/>
            <w:shd w:val="clear" w:color="auto" w:fill="FFFFFF" w:themeFill="background1"/>
          </w:tcPr>
          <w:p w14:paraId="34417662" w14:textId="77777777" w:rsidR="007774F0" w:rsidRPr="00E658B9" w:rsidRDefault="00885559" w:rsidP="000A0811">
            <w:pPr>
              <w:pStyle w:val="NoSpacing"/>
              <w:jc w:val="both"/>
            </w:pPr>
            <w:r w:rsidRPr="00885559">
              <w:t xml:space="preserve">The field office </w:t>
            </w:r>
            <w:r w:rsidR="000A0811">
              <w:t xml:space="preserve">approved and provided </w:t>
            </w:r>
            <w:r w:rsidRPr="00885559">
              <w:t>the request of LGUs for augmentation support in response to the effect of a declaration of lockdowns and enhanced community quarantine due to the COVID-19 pandemic. Moreover, the families affected by the flooding due to sheerline and armed conflict were also given assistance to early recovery.</w:t>
            </w:r>
          </w:p>
        </w:tc>
      </w:tr>
      <w:tr w:rsidR="007774F0" w:rsidRPr="00B42E7B" w14:paraId="3883CC64" w14:textId="77777777" w:rsidTr="0068148D">
        <w:trPr>
          <w:trHeight w:val="295"/>
        </w:trPr>
        <w:tc>
          <w:tcPr>
            <w:tcW w:w="10365" w:type="dxa"/>
            <w:gridSpan w:val="6"/>
            <w:tcBorders>
              <w:bottom w:val="single" w:sz="4" w:space="0" w:color="auto"/>
            </w:tcBorders>
            <w:shd w:val="clear" w:color="auto" w:fill="FBE4D5" w:themeFill="accent2" w:themeFillTint="33"/>
          </w:tcPr>
          <w:p w14:paraId="6EA7DADA" w14:textId="77777777" w:rsidR="007774F0" w:rsidRPr="008E0F8A" w:rsidRDefault="007774F0" w:rsidP="007774F0">
            <w:pPr>
              <w:pStyle w:val="NoSpacing"/>
              <w:rPr>
                <w:b/>
              </w:rPr>
            </w:pPr>
            <w:r w:rsidRPr="008E0F8A">
              <w:rPr>
                <w:b/>
              </w:rPr>
              <w:t>Organizational Outcome 4: Continuing Compliance Of Social Welfare And Development Agencies To Standards In The Delivery Of Social Welfare Services Ensured</w:t>
            </w:r>
          </w:p>
        </w:tc>
      </w:tr>
      <w:tr w:rsidR="007774F0" w:rsidRPr="00B42E7B" w14:paraId="747BCAC7" w14:textId="77777777" w:rsidTr="0068148D">
        <w:trPr>
          <w:trHeight w:val="295"/>
        </w:trPr>
        <w:tc>
          <w:tcPr>
            <w:tcW w:w="10365" w:type="dxa"/>
            <w:gridSpan w:val="6"/>
            <w:tcBorders>
              <w:bottom w:val="single" w:sz="4" w:space="0" w:color="auto"/>
            </w:tcBorders>
            <w:shd w:val="clear" w:color="auto" w:fill="DEEAF6" w:themeFill="accent1" w:themeFillTint="33"/>
          </w:tcPr>
          <w:p w14:paraId="3344E116" w14:textId="77777777" w:rsidR="007774F0" w:rsidRPr="008E0F8A" w:rsidRDefault="007774F0" w:rsidP="007774F0">
            <w:pPr>
              <w:pStyle w:val="NoSpacing"/>
              <w:rPr>
                <w:b/>
              </w:rPr>
            </w:pPr>
            <w:r w:rsidRPr="008E0F8A">
              <w:rPr>
                <w:b/>
              </w:rPr>
              <w:t>Standards Regulatory Services</w:t>
            </w:r>
          </w:p>
        </w:tc>
      </w:tr>
      <w:tr w:rsidR="007774F0" w:rsidRPr="00B42E7B" w14:paraId="545DB236" w14:textId="77777777" w:rsidTr="00253CF4">
        <w:trPr>
          <w:trHeight w:val="295"/>
        </w:trPr>
        <w:tc>
          <w:tcPr>
            <w:tcW w:w="2280" w:type="dxa"/>
            <w:shd w:val="clear" w:color="auto" w:fill="FFFFFF" w:themeFill="background1"/>
          </w:tcPr>
          <w:p w14:paraId="4C1F2090" w14:textId="77777777" w:rsidR="007774F0" w:rsidRPr="00E658B9" w:rsidRDefault="007774F0" w:rsidP="00885559">
            <w:pPr>
              <w:pStyle w:val="NoSpacing"/>
              <w:jc w:val="both"/>
            </w:pPr>
            <w:r>
              <w:t>4.1.</w:t>
            </w:r>
            <w:r w:rsidRPr="008E0F8A">
              <w:t>Percentage of complaints received by the Field Office against erring SWDAs</w:t>
            </w:r>
          </w:p>
        </w:tc>
        <w:tc>
          <w:tcPr>
            <w:tcW w:w="1543" w:type="dxa"/>
            <w:shd w:val="clear" w:color="auto" w:fill="FFFFFF" w:themeFill="background1"/>
          </w:tcPr>
          <w:p w14:paraId="61312048" w14:textId="77777777" w:rsidR="007774F0" w:rsidRPr="00E658B9" w:rsidRDefault="00850376" w:rsidP="007774F0">
            <w:pPr>
              <w:pStyle w:val="NoSpacing"/>
              <w:jc w:val="center"/>
            </w:pPr>
            <w:r>
              <w:t>ANA</w:t>
            </w:r>
          </w:p>
        </w:tc>
        <w:tc>
          <w:tcPr>
            <w:tcW w:w="1701" w:type="dxa"/>
            <w:shd w:val="clear" w:color="auto" w:fill="FFFFFF" w:themeFill="background1"/>
          </w:tcPr>
          <w:p w14:paraId="34B0608B" w14:textId="77777777" w:rsidR="007774F0" w:rsidRPr="00E658B9" w:rsidRDefault="00850376" w:rsidP="007774F0">
            <w:pPr>
              <w:pStyle w:val="NoSpacing"/>
              <w:jc w:val="center"/>
            </w:pPr>
            <w:r>
              <w:t>0</w:t>
            </w:r>
          </w:p>
        </w:tc>
        <w:tc>
          <w:tcPr>
            <w:tcW w:w="1275" w:type="dxa"/>
            <w:shd w:val="clear" w:color="auto" w:fill="FFFFFF" w:themeFill="background1"/>
          </w:tcPr>
          <w:p w14:paraId="6D748E08" w14:textId="77777777" w:rsidR="007774F0" w:rsidRPr="00E658B9" w:rsidRDefault="007774F0" w:rsidP="007774F0">
            <w:pPr>
              <w:pStyle w:val="NoSpacing"/>
            </w:pPr>
          </w:p>
        </w:tc>
        <w:tc>
          <w:tcPr>
            <w:tcW w:w="1276" w:type="dxa"/>
            <w:shd w:val="clear" w:color="auto" w:fill="FFFFFF" w:themeFill="background1"/>
          </w:tcPr>
          <w:p w14:paraId="2B79CB6F" w14:textId="77777777" w:rsidR="007774F0" w:rsidRPr="002D57EA" w:rsidRDefault="007774F0" w:rsidP="007774F0">
            <w:pPr>
              <w:pStyle w:val="NoSpacing"/>
              <w:rPr>
                <w:b/>
              </w:rPr>
            </w:pPr>
          </w:p>
        </w:tc>
        <w:tc>
          <w:tcPr>
            <w:tcW w:w="2290" w:type="dxa"/>
            <w:shd w:val="clear" w:color="auto" w:fill="FFFFFF" w:themeFill="background1"/>
          </w:tcPr>
          <w:p w14:paraId="7A7E24FB" w14:textId="77777777" w:rsidR="007774F0" w:rsidRPr="00E658B9" w:rsidRDefault="007774F0" w:rsidP="007774F0">
            <w:pPr>
              <w:pStyle w:val="NoSpacing"/>
            </w:pPr>
          </w:p>
        </w:tc>
      </w:tr>
      <w:tr w:rsidR="007774F0" w:rsidRPr="00B42E7B" w14:paraId="6BB335FD" w14:textId="77777777" w:rsidTr="00253CF4">
        <w:trPr>
          <w:trHeight w:val="295"/>
        </w:trPr>
        <w:tc>
          <w:tcPr>
            <w:tcW w:w="2280" w:type="dxa"/>
            <w:shd w:val="clear" w:color="auto" w:fill="FFFFFF" w:themeFill="background1"/>
          </w:tcPr>
          <w:p w14:paraId="298A935E" w14:textId="77777777" w:rsidR="007774F0" w:rsidRPr="00E658B9" w:rsidRDefault="007774F0" w:rsidP="00885559">
            <w:pPr>
              <w:pStyle w:val="NoSpacing"/>
              <w:jc w:val="both"/>
            </w:pPr>
            <w:r>
              <w:t xml:space="preserve">4.2. </w:t>
            </w:r>
            <w:r w:rsidRPr="008E0F8A">
              <w:t>Percentage of SWDAs with sustained compliance to SWD Standards</w:t>
            </w:r>
          </w:p>
        </w:tc>
        <w:tc>
          <w:tcPr>
            <w:tcW w:w="1543" w:type="dxa"/>
            <w:shd w:val="clear" w:color="auto" w:fill="FFFFFF" w:themeFill="background1"/>
          </w:tcPr>
          <w:p w14:paraId="44443725" w14:textId="77777777" w:rsidR="007774F0" w:rsidRPr="00E658B9" w:rsidRDefault="007774F0" w:rsidP="007774F0">
            <w:pPr>
              <w:pStyle w:val="NoSpacing"/>
              <w:jc w:val="center"/>
            </w:pPr>
          </w:p>
        </w:tc>
        <w:tc>
          <w:tcPr>
            <w:tcW w:w="1701" w:type="dxa"/>
            <w:shd w:val="clear" w:color="auto" w:fill="FFFFFF" w:themeFill="background1"/>
          </w:tcPr>
          <w:p w14:paraId="0804508D" w14:textId="77777777" w:rsidR="007774F0" w:rsidRPr="00E658B9" w:rsidRDefault="007774F0" w:rsidP="007774F0">
            <w:pPr>
              <w:pStyle w:val="NoSpacing"/>
              <w:jc w:val="center"/>
            </w:pPr>
          </w:p>
        </w:tc>
        <w:tc>
          <w:tcPr>
            <w:tcW w:w="1275" w:type="dxa"/>
            <w:shd w:val="clear" w:color="auto" w:fill="FFFFFF" w:themeFill="background1"/>
          </w:tcPr>
          <w:p w14:paraId="2892D6FD" w14:textId="77777777" w:rsidR="007774F0" w:rsidRPr="00E658B9" w:rsidRDefault="007774F0" w:rsidP="007774F0">
            <w:pPr>
              <w:pStyle w:val="NoSpacing"/>
            </w:pPr>
          </w:p>
        </w:tc>
        <w:tc>
          <w:tcPr>
            <w:tcW w:w="1276" w:type="dxa"/>
            <w:shd w:val="clear" w:color="auto" w:fill="FFFFFF" w:themeFill="background1"/>
          </w:tcPr>
          <w:p w14:paraId="244E705E" w14:textId="77777777" w:rsidR="007774F0" w:rsidRPr="002D57EA" w:rsidRDefault="007774F0" w:rsidP="007774F0">
            <w:pPr>
              <w:pStyle w:val="NoSpacing"/>
              <w:rPr>
                <w:b/>
              </w:rPr>
            </w:pPr>
          </w:p>
        </w:tc>
        <w:tc>
          <w:tcPr>
            <w:tcW w:w="2290" w:type="dxa"/>
            <w:shd w:val="clear" w:color="auto" w:fill="FFFFFF" w:themeFill="background1"/>
          </w:tcPr>
          <w:p w14:paraId="7039926C" w14:textId="77777777" w:rsidR="007774F0" w:rsidRPr="007F5254" w:rsidRDefault="007F5254" w:rsidP="007774F0">
            <w:pPr>
              <w:pStyle w:val="NoSpacing"/>
            </w:pPr>
            <w:r w:rsidRPr="007F5254">
              <w:rPr>
                <w:color w:val="000000"/>
                <w:shd w:val="clear" w:color="auto" w:fill="FFFFFF"/>
              </w:rPr>
              <w:t xml:space="preserve">Per memorandum of the Standards Bureau on 08 June 2022 on the "Clarification of FO target on Monitoring </w:t>
            </w:r>
            <w:r w:rsidRPr="007F5254">
              <w:rPr>
                <w:color w:val="000000"/>
                <w:shd w:val="clear" w:color="auto" w:fill="FFFFFF"/>
              </w:rPr>
              <w:lastRenderedPageBreak/>
              <w:t>for Sustained Compliance to R/L", the FO2 shall only monitor regional issuances SWDAs with valid R/L. Per attached statistics of the said memo, the target for monitoring of sustained R/L is lowered to 13 SWDAs.</w:t>
            </w:r>
          </w:p>
        </w:tc>
      </w:tr>
      <w:tr w:rsidR="007774F0" w:rsidRPr="00B42E7B" w14:paraId="6D076430" w14:textId="77777777" w:rsidTr="00253CF4">
        <w:trPr>
          <w:trHeight w:val="295"/>
        </w:trPr>
        <w:tc>
          <w:tcPr>
            <w:tcW w:w="2280" w:type="dxa"/>
            <w:shd w:val="clear" w:color="auto" w:fill="FFFFFF" w:themeFill="background1"/>
          </w:tcPr>
          <w:p w14:paraId="552B1562" w14:textId="77777777" w:rsidR="007774F0" w:rsidRPr="00E658B9" w:rsidRDefault="007774F0" w:rsidP="00885559">
            <w:pPr>
              <w:pStyle w:val="NoSpacing"/>
              <w:jc w:val="both"/>
            </w:pPr>
            <w:r>
              <w:lastRenderedPageBreak/>
              <w:t>4.</w:t>
            </w:r>
            <w:r w:rsidRPr="008E0F8A">
              <w:t>2.1 Private SWDAs with valid RL (operational within the region only)</w:t>
            </w:r>
          </w:p>
        </w:tc>
        <w:tc>
          <w:tcPr>
            <w:tcW w:w="1543" w:type="dxa"/>
            <w:shd w:val="clear" w:color="auto" w:fill="FFFFFF" w:themeFill="background1"/>
          </w:tcPr>
          <w:p w14:paraId="70E02EC9" w14:textId="77777777" w:rsidR="007774F0" w:rsidRPr="00E658B9" w:rsidRDefault="00850376" w:rsidP="007774F0">
            <w:pPr>
              <w:pStyle w:val="NoSpacing"/>
              <w:jc w:val="center"/>
            </w:pPr>
            <w:r>
              <w:t>6</w:t>
            </w:r>
          </w:p>
        </w:tc>
        <w:tc>
          <w:tcPr>
            <w:tcW w:w="1701" w:type="dxa"/>
            <w:shd w:val="clear" w:color="auto" w:fill="FFFFFF" w:themeFill="background1"/>
          </w:tcPr>
          <w:p w14:paraId="636FBB38" w14:textId="77777777" w:rsidR="007774F0" w:rsidRPr="00E658B9" w:rsidRDefault="00850376" w:rsidP="007774F0">
            <w:pPr>
              <w:pStyle w:val="NoSpacing"/>
              <w:jc w:val="center"/>
            </w:pPr>
            <w:r>
              <w:t>5</w:t>
            </w:r>
          </w:p>
        </w:tc>
        <w:tc>
          <w:tcPr>
            <w:tcW w:w="1275" w:type="dxa"/>
            <w:shd w:val="clear" w:color="auto" w:fill="FFFFFF" w:themeFill="background1"/>
          </w:tcPr>
          <w:p w14:paraId="506E4A41" w14:textId="77777777" w:rsidR="007774F0" w:rsidRPr="00E658B9" w:rsidRDefault="007F5254" w:rsidP="007774F0">
            <w:pPr>
              <w:pStyle w:val="NoSpacing"/>
            </w:pPr>
            <w:r>
              <w:t>-1</w:t>
            </w:r>
          </w:p>
        </w:tc>
        <w:tc>
          <w:tcPr>
            <w:tcW w:w="1276" w:type="dxa"/>
            <w:shd w:val="clear" w:color="auto" w:fill="FFFFFF" w:themeFill="background1"/>
          </w:tcPr>
          <w:p w14:paraId="32238392" w14:textId="77777777" w:rsidR="007774F0" w:rsidRPr="008E0F8A" w:rsidRDefault="007F5254" w:rsidP="007774F0">
            <w:pPr>
              <w:pStyle w:val="NoSpacing"/>
            </w:pPr>
            <w:r>
              <w:t>Minor Deviation</w:t>
            </w:r>
          </w:p>
        </w:tc>
        <w:tc>
          <w:tcPr>
            <w:tcW w:w="2290" w:type="dxa"/>
            <w:shd w:val="clear" w:color="auto" w:fill="FFFFFF" w:themeFill="background1"/>
          </w:tcPr>
          <w:p w14:paraId="177B375B" w14:textId="77777777" w:rsidR="007774F0" w:rsidRPr="00E658B9" w:rsidRDefault="007774F0" w:rsidP="007774F0">
            <w:pPr>
              <w:pStyle w:val="NoSpacing"/>
            </w:pPr>
          </w:p>
        </w:tc>
      </w:tr>
      <w:tr w:rsidR="007774F0" w:rsidRPr="00B42E7B" w14:paraId="0DD89968" w14:textId="77777777" w:rsidTr="00253CF4">
        <w:trPr>
          <w:trHeight w:val="295"/>
        </w:trPr>
        <w:tc>
          <w:tcPr>
            <w:tcW w:w="2280" w:type="dxa"/>
            <w:shd w:val="clear" w:color="auto" w:fill="FFFFFF" w:themeFill="background1"/>
          </w:tcPr>
          <w:p w14:paraId="4F9B863D" w14:textId="77777777" w:rsidR="007774F0" w:rsidRPr="00E658B9" w:rsidRDefault="007774F0" w:rsidP="00885559">
            <w:pPr>
              <w:pStyle w:val="NoSpacing"/>
              <w:jc w:val="both"/>
            </w:pPr>
            <w:r>
              <w:t>4.</w:t>
            </w:r>
            <w:r w:rsidRPr="008E0F8A">
              <w:t>2.2 LGU-managed SWDAs with valid Accreditation (operational within the region only)</w:t>
            </w:r>
          </w:p>
        </w:tc>
        <w:tc>
          <w:tcPr>
            <w:tcW w:w="1543" w:type="dxa"/>
            <w:shd w:val="clear" w:color="auto" w:fill="FFFFFF" w:themeFill="background1"/>
          </w:tcPr>
          <w:p w14:paraId="1C79B54B" w14:textId="77777777" w:rsidR="007774F0" w:rsidRPr="00E658B9" w:rsidRDefault="00850376" w:rsidP="007774F0">
            <w:pPr>
              <w:pStyle w:val="NoSpacing"/>
              <w:jc w:val="center"/>
            </w:pPr>
            <w:r>
              <w:t>8</w:t>
            </w:r>
          </w:p>
        </w:tc>
        <w:tc>
          <w:tcPr>
            <w:tcW w:w="1701" w:type="dxa"/>
            <w:shd w:val="clear" w:color="auto" w:fill="FFFFFF" w:themeFill="background1"/>
          </w:tcPr>
          <w:p w14:paraId="042CBDA4" w14:textId="77777777" w:rsidR="007774F0" w:rsidRPr="00E658B9" w:rsidRDefault="00850376" w:rsidP="007774F0">
            <w:pPr>
              <w:pStyle w:val="NoSpacing"/>
              <w:jc w:val="center"/>
            </w:pPr>
            <w:r>
              <w:t>8</w:t>
            </w:r>
          </w:p>
        </w:tc>
        <w:tc>
          <w:tcPr>
            <w:tcW w:w="1275" w:type="dxa"/>
            <w:shd w:val="clear" w:color="auto" w:fill="FFFFFF" w:themeFill="background1"/>
          </w:tcPr>
          <w:p w14:paraId="4373E351" w14:textId="77777777" w:rsidR="007774F0" w:rsidRPr="00E658B9" w:rsidRDefault="007F5254" w:rsidP="007774F0">
            <w:pPr>
              <w:pStyle w:val="NoSpacing"/>
            </w:pPr>
            <w:r>
              <w:t>0</w:t>
            </w:r>
          </w:p>
        </w:tc>
        <w:tc>
          <w:tcPr>
            <w:tcW w:w="1276" w:type="dxa"/>
            <w:shd w:val="clear" w:color="auto" w:fill="FFFFFF" w:themeFill="background1"/>
          </w:tcPr>
          <w:p w14:paraId="4FE470BE" w14:textId="77777777" w:rsidR="007774F0" w:rsidRPr="008E0F8A" w:rsidRDefault="007F5254" w:rsidP="007774F0">
            <w:r>
              <w:t xml:space="preserve">Full Target Achieved </w:t>
            </w:r>
          </w:p>
        </w:tc>
        <w:tc>
          <w:tcPr>
            <w:tcW w:w="2290" w:type="dxa"/>
            <w:shd w:val="clear" w:color="auto" w:fill="FFFFFF" w:themeFill="background1"/>
          </w:tcPr>
          <w:p w14:paraId="09C60C75" w14:textId="77777777" w:rsidR="007774F0" w:rsidRPr="00E658B9" w:rsidRDefault="007774F0" w:rsidP="007774F0">
            <w:pPr>
              <w:pStyle w:val="NoSpacing"/>
            </w:pPr>
          </w:p>
        </w:tc>
      </w:tr>
      <w:tr w:rsidR="007774F0" w:rsidRPr="00B42E7B" w14:paraId="1644EF8A" w14:textId="77777777" w:rsidTr="00253CF4">
        <w:trPr>
          <w:trHeight w:val="295"/>
        </w:trPr>
        <w:tc>
          <w:tcPr>
            <w:tcW w:w="2280" w:type="dxa"/>
            <w:shd w:val="clear" w:color="auto" w:fill="FFFFFF" w:themeFill="background1"/>
          </w:tcPr>
          <w:p w14:paraId="4981E766" w14:textId="77777777" w:rsidR="007774F0" w:rsidRPr="00E658B9" w:rsidRDefault="007774F0" w:rsidP="00885559">
            <w:pPr>
              <w:pStyle w:val="NoSpacing"/>
              <w:jc w:val="both"/>
            </w:pPr>
            <w:r>
              <w:t>4.</w:t>
            </w:r>
            <w:r w:rsidRPr="008E0F8A">
              <w:t>2.3 DSWD-managed SWDAs with valid Accreditation (operational within the region only)</w:t>
            </w:r>
          </w:p>
        </w:tc>
        <w:tc>
          <w:tcPr>
            <w:tcW w:w="1543" w:type="dxa"/>
            <w:shd w:val="clear" w:color="auto" w:fill="FFFFFF" w:themeFill="background1"/>
          </w:tcPr>
          <w:p w14:paraId="17970BE0" w14:textId="77777777" w:rsidR="007774F0" w:rsidRPr="00E658B9" w:rsidRDefault="00850376" w:rsidP="007774F0">
            <w:pPr>
              <w:pStyle w:val="NoSpacing"/>
              <w:jc w:val="center"/>
            </w:pPr>
            <w:r>
              <w:t>3</w:t>
            </w:r>
          </w:p>
        </w:tc>
        <w:tc>
          <w:tcPr>
            <w:tcW w:w="1701" w:type="dxa"/>
            <w:shd w:val="clear" w:color="auto" w:fill="FFFFFF" w:themeFill="background1"/>
          </w:tcPr>
          <w:p w14:paraId="18AF3F5C" w14:textId="77777777" w:rsidR="007774F0" w:rsidRPr="00E658B9" w:rsidRDefault="00850376" w:rsidP="007774F0">
            <w:pPr>
              <w:pStyle w:val="NoSpacing"/>
              <w:jc w:val="center"/>
            </w:pPr>
            <w:r>
              <w:t>1</w:t>
            </w:r>
          </w:p>
        </w:tc>
        <w:tc>
          <w:tcPr>
            <w:tcW w:w="1275" w:type="dxa"/>
            <w:shd w:val="clear" w:color="auto" w:fill="FFFFFF" w:themeFill="background1"/>
          </w:tcPr>
          <w:p w14:paraId="161E5BA1" w14:textId="77777777" w:rsidR="007774F0" w:rsidRPr="00E658B9" w:rsidRDefault="007F5254" w:rsidP="007774F0">
            <w:pPr>
              <w:pStyle w:val="NoSpacing"/>
            </w:pPr>
            <w:r>
              <w:t>-2</w:t>
            </w:r>
          </w:p>
        </w:tc>
        <w:tc>
          <w:tcPr>
            <w:tcW w:w="1276" w:type="dxa"/>
            <w:shd w:val="clear" w:color="auto" w:fill="FFFFFF" w:themeFill="background1"/>
          </w:tcPr>
          <w:p w14:paraId="25ADF39A" w14:textId="77777777" w:rsidR="007774F0" w:rsidRPr="008E0F8A" w:rsidRDefault="007F5254" w:rsidP="007F5254">
            <w:r>
              <w:t>Major Deviation</w:t>
            </w:r>
          </w:p>
        </w:tc>
        <w:tc>
          <w:tcPr>
            <w:tcW w:w="2290" w:type="dxa"/>
            <w:shd w:val="clear" w:color="auto" w:fill="FFFFFF" w:themeFill="background1"/>
          </w:tcPr>
          <w:p w14:paraId="1D6712B2" w14:textId="77777777" w:rsidR="007774F0" w:rsidRPr="00E658B9" w:rsidRDefault="007774F0" w:rsidP="007774F0">
            <w:pPr>
              <w:pStyle w:val="NoSpacing"/>
            </w:pPr>
          </w:p>
        </w:tc>
      </w:tr>
      <w:tr w:rsidR="007774F0" w:rsidRPr="00B42E7B" w14:paraId="1B76BF45" w14:textId="77777777" w:rsidTr="0068148D">
        <w:trPr>
          <w:trHeight w:val="295"/>
        </w:trPr>
        <w:tc>
          <w:tcPr>
            <w:tcW w:w="10365" w:type="dxa"/>
            <w:gridSpan w:val="6"/>
            <w:shd w:val="clear" w:color="auto" w:fill="E2EFD9" w:themeFill="accent6" w:themeFillTint="33"/>
          </w:tcPr>
          <w:p w14:paraId="6DA62F70" w14:textId="77777777" w:rsidR="007774F0" w:rsidRPr="00DE075B" w:rsidRDefault="007774F0" w:rsidP="007774F0">
            <w:pPr>
              <w:pStyle w:val="NoSpacing"/>
              <w:rPr>
                <w:b/>
              </w:rPr>
            </w:pPr>
            <w:r w:rsidRPr="00DE075B">
              <w:rPr>
                <w:b/>
              </w:rPr>
              <w:t xml:space="preserve">Strategic Focus 1: Increase </w:t>
            </w:r>
            <w:r w:rsidR="00885559">
              <w:rPr>
                <w:b/>
              </w:rPr>
              <w:t xml:space="preserve">the </w:t>
            </w:r>
            <w:r w:rsidRPr="00DE075B">
              <w:rPr>
                <w:b/>
              </w:rPr>
              <w:t>capacity of LGUs to improve the delivery of social protection and social welfare services</w:t>
            </w:r>
          </w:p>
        </w:tc>
      </w:tr>
      <w:tr w:rsidR="007774F0" w:rsidRPr="00B42E7B" w14:paraId="1C8B6487" w14:textId="77777777" w:rsidTr="0068148D">
        <w:trPr>
          <w:trHeight w:val="295"/>
        </w:trPr>
        <w:tc>
          <w:tcPr>
            <w:tcW w:w="10365" w:type="dxa"/>
            <w:gridSpan w:val="6"/>
            <w:shd w:val="clear" w:color="auto" w:fill="FBE4D5" w:themeFill="accent2" w:themeFillTint="33"/>
          </w:tcPr>
          <w:p w14:paraId="35947CFA" w14:textId="77777777" w:rsidR="007774F0" w:rsidRPr="00DE075B" w:rsidRDefault="007774F0" w:rsidP="007774F0">
            <w:pPr>
              <w:pStyle w:val="NoSpacing"/>
              <w:jc w:val="both"/>
              <w:rPr>
                <w:b/>
              </w:rPr>
            </w:pPr>
            <w:r w:rsidRPr="00DE075B">
              <w:rPr>
                <w:b/>
              </w:rPr>
              <w:t>Organizational Outcome 5: Delivery Of Social Welfare And Development Programs By Local Government Units Through Local Social Welfare And Development Offices Improved</w:t>
            </w:r>
          </w:p>
        </w:tc>
      </w:tr>
      <w:tr w:rsidR="007774F0" w:rsidRPr="00B42E7B" w14:paraId="4CA18116" w14:textId="77777777" w:rsidTr="0068148D">
        <w:trPr>
          <w:trHeight w:val="295"/>
        </w:trPr>
        <w:tc>
          <w:tcPr>
            <w:tcW w:w="10365" w:type="dxa"/>
            <w:gridSpan w:val="6"/>
            <w:shd w:val="clear" w:color="auto" w:fill="DEEAF6" w:themeFill="accent1" w:themeFillTint="33"/>
          </w:tcPr>
          <w:p w14:paraId="2A9C637D" w14:textId="77777777" w:rsidR="007774F0" w:rsidRPr="00DE075B" w:rsidRDefault="007774F0" w:rsidP="007774F0">
            <w:pPr>
              <w:pStyle w:val="NoSpacing"/>
              <w:rPr>
                <w:b/>
              </w:rPr>
            </w:pPr>
            <w:r w:rsidRPr="00DE075B">
              <w:rPr>
                <w:b/>
              </w:rPr>
              <w:t>Technical Assistance and Resource Augmentation Program</w:t>
            </w:r>
          </w:p>
        </w:tc>
      </w:tr>
      <w:tr w:rsidR="007774F0" w:rsidRPr="00984C6B" w14:paraId="30AAD90F" w14:textId="77777777" w:rsidTr="00253CF4">
        <w:trPr>
          <w:trHeight w:val="295"/>
        </w:trPr>
        <w:tc>
          <w:tcPr>
            <w:tcW w:w="2280" w:type="dxa"/>
            <w:shd w:val="clear" w:color="auto" w:fill="FFFFFF" w:themeFill="background1"/>
          </w:tcPr>
          <w:p w14:paraId="6AE1F830" w14:textId="77777777" w:rsidR="007774F0" w:rsidRPr="00E658B9" w:rsidRDefault="007774F0" w:rsidP="007774F0">
            <w:pPr>
              <w:pStyle w:val="NoSpacing"/>
            </w:pPr>
            <w:r>
              <w:t xml:space="preserve">5.1.LSWDO </w:t>
            </w:r>
            <w:r w:rsidRPr="00861304">
              <w:t>Assessment Result on Service Delivery Capacity (CY2019 &amp; 2020):</w:t>
            </w:r>
          </w:p>
        </w:tc>
        <w:tc>
          <w:tcPr>
            <w:tcW w:w="1543" w:type="dxa"/>
            <w:shd w:val="clear" w:color="auto" w:fill="FFFFFF" w:themeFill="background1"/>
          </w:tcPr>
          <w:p w14:paraId="79FB4969" w14:textId="77777777" w:rsidR="007774F0" w:rsidRPr="00E658B9" w:rsidRDefault="007774F0" w:rsidP="007774F0">
            <w:pPr>
              <w:pStyle w:val="NoSpacing"/>
              <w:jc w:val="center"/>
            </w:pPr>
          </w:p>
        </w:tc>
        <w:tc>
          <w:tcPr>
            <w:tcW w:w="1701" w:type="dxa"/>
            <w:shd w:val="clear" w:color="auto" w:fill="FFFFFF" w:themeFill="background1"/>
          </w:tcPr>
          <w:p w14:paraId="383C4AA4" w14:textId="77777777" w:rsidR="007774F0" w:rsidRPr="00E658B9" w:rsidRDefault="007774F0" w:rsidP="007774F0">
            <w:pPr>
              <w:pStyle w:val="NoSpacing"/>
              <w:jc w:val="center"/>
            </w:pPr>
          </w:p>
        </w:tc>
        <w:tc>
          <w:tcPr>
            <w:tcW w:w="1275" w:type="dxa"/>
            <w:shd w:val="clear" w:color="auto" w:fill="FFFFFF" w:themeFill="background1"/>
          </w:tcPr>
          <w:p w14:paraId="7C08350A" w14:textId="77777777" w:rsidR="007774F0" w:rsidRPr="00E658B9" w:rsidRDefault="007774F0" w:rsidP="007774F0">
            <w:pPr>
              <w:pStyle w:val="NoSpacing"/>
            </w:pPr>
          </w:p>
        </w:tc>
        <w:tc>
          <w:tcPr>
            <w:tcW w:w="1276" w:type="dxa"/>
            <w:shd w:val="clear" w:color="auto" w:fill="FFFFFF" w:themeFill="background1"/>
          </w:tcPr>
          <w:p w14:paraId="61E7BB10" w14:textId="77777777" w:rsidR="007774F0" w:rsidRPr="002D57EA" w:rsidRDefault="007774F0" w:rsidP="007774F0">
            <w:pPr>
              <w:pStyle w:val="NoSpacing"/>
              <w:rPr>
                <w:b/>
              </w:rPr>
            </w:pPr>
          </w:p>
        </w:tc>
        <w:tc>
          <w:tcPr>
            <w:tcW w:w="2290" w:type="dxa"/>
            <w:vMerge w:val="restart"/>
            <w:shd w:val="clear" w:color="auto" w:fill="FFFFFF" w:themeFill="background1"/>
          </w:tcPr>
          <w:p w14:paraId="12004D86" w14:textId="366A6291" w:rsidR="00984C6B" w:rsidRPr="00984C6B" w:rsidRDefault="00984C6B" w:rsidP="00984C6B">
            <w:pPr>
              <w:pStyle w:val="NoSpacing"/>
              <w:jc w:val="both"/>
            </w:pPr>
            <w:r w:rsidRPr="00984C6B">
              <w:rPr>
                <w:color w:val="000000"/>
                <w:shd w:val="clear" w:color="auto" w:fill="FFFFFF"/>
              </w:rPr>
              <w:t>Prescribed timeline for the Service Delivery Capacity Re-Assessment (SDCA) is from July-August 2022 to the 21 final target LGUs from the provinces of Cagayan, Isabela, Nueva Vizcaya a</w:t>
            </w:r>
            <w:r w:rsidR="00413F89">
              <w:rPr>
                <w:color w:val="000000"/>
                <w:shd w:val="clear" w:color="auto" w:fill="FFFFFF"/>
              </w:rPr>
              <w:t>nd</w:t>
            </w:r>
            <w:r w:rsidRPr="00984C6B">
              <w:rPr>
                <w:color w:val="000000"/>
                <w:shd w:val="clear" w:color="auto" w:fill="FFFFFF"/>
              </w:rPr>
              <w:t xml:space="preserve"> Quirino. An Implementation Plan for the SDCA to the 21 target LGUs was presented during the initial meeting with the Regional Monitoring Team (RMT) members and also during the 4th Monthly Operations Review of the Field Office 2. Another RMT Meeting will be conducted on the 2nd </w:t>
            </w:r>
            <w:r w:rsidRPr="00984C6B">
              <w:rPr>
                <w:color w:val="000000"/>
                <w:shd w:val="clear" w:color="auto" w:fill="FFFFFF"/>
              </w:rPr>
              <w:lastRenderedPageBreak/>
              <w:t>week of July purposely to discuss on the Roles of the members, the SDCA tool</w:t>
            </w:r>
            <w:r w:rsidR="006A53F7">
              <w:rPr>
                <w:color w:val="000000"/>
                <w:shd w:val="clear" w:color="auto" w:fill="FFFFFF"/>
              </w:rPr>
              <w:t>,</w:t>
            </w:r>
            <w:r w:rsidRPr="00984C6B">
              <w:rPr>
                <w:color w:val="000000"/>
                <w:shd w:val="clear" w:color="auto" w:fill="FFFFFF"/>
              </w:rPr>
              <w:t xml:space="preserve"> and specific areas that need</w:t>
            </w:r>
            <w:r w:rsidR="006A53F7">
              <w:rPr>
                <w:color w:val="000000"/>
                <w:shd w:val="clear" w:color="auto" w:fill="FFFFFF"/>
              </w:rPr>
              <w:t>s focus for assessment of</w:t>
            </w:r>
            <w:r w:rsidRPr="00984C6B">
              <w:rPr>
                <w:color w:val="000000"/>
                <w:shd w:val="clear" w:color="auto" w:fill="FFFFFF"/>
              </w:rPr>
              <w:t xml:space="preserve"> the target LGUs</w:t>
            </w:r>
            <w:r>
              <w:rPr>
                <w:color w:val="000000"/>
                <w:sz w:val="15"/>
                <w:szCs w:val="15"/>
                <w:shd w:val="clear" w:color="auto" w:fill="FFFFFF"/>
              </w:rPr>
              <w:t>.</w:t>
            </w:r>
          </w:p>
        </w:tc>
      </w:tr>
      <w:tr w:rsidR="00984C6B" w:rsidRPr="00984C6B" w14:paraId="11622870" w14:textId="77777777" w:rsidTr="00253CF4">
        <w:trPr>
          <w:trHeight w:val="295"/>
        </w:trPr>
        <w:tc>
          <w:tcPr>
            <w:tcW w:w="2280" w:type="dxa"/>
            <w:shd w:val="clear" w:color="auto" w:fill="FFFFFF" w:themeFill="background1"/>
          </w:tcPr>
          <w:p w14:paraId="2555E3F3" w14:textId="77777777" w:rsidR="00984C6B" w:rsidRDefault="00984C6B" w:rsidP="007774F0">
            <w:pPr>
              <w:pStyle w:val="NoSpacing"/>
            </w:pPr>
            <w:r>
              <w:t xml:space="preserve">5.1.1. </w:t>
            </w:r>
            <w:r w:rsidRPr="00984C6B">
              <w:t>Percentage of LSWDOs with improved functionality</w:t>
            </w:r>
          </w:p>
        </w:tc>
        <w:tc>
          <w:tcPr>
            <w:tcW w:w="1543" w:type="dxa"/>
            <w:shd w:val="clear" w:color="auto" w:fill="FFFFFF" w:themeFill="background1"/>
          </w:tcPr>
          <w:p w14:paraId="6B16B066" w14:textId="77777777" w:rsidR="00984C6B" w:rsidRPr="00E658B9" w:rsidRDefault="00984C6B" w:rsidP="007774F0">
            <w:pPr>
              <w:pStyle w:val="NoSpacing"/>
              <w:jc w:val="center"/>
            </w:pPr>
            <w:r>
              <w:t xml:space="preserve">100% (21 LGUs) </w:t>
            </w:r>
          </w:p>
        </w:tc>
        <w:tc>
          <w:tcPr>
            <w:tcW w:w="1701" w:type="dxa"/>
            <w:shd w:val="clear" w:color="auto" w:fill="FFFFFF" w:themeFill="background1"/>
          </w:tcPr>
          <w:p w14:paraId="607A3210" w14:textId="77777777" w:rsidR="00984C6B" w:rsidRPr="00E658B9" w:rsidRDefault="00984C6B" w:rsidP="007774F0">
            <w:pPr>
              <w:pStyle w:val="NoSpacing"/>
              <w:jc w:val="center"/>
            </w:pPr>
            <w:r>
              <w:t>N/A</w:t>
            </w:r>
          </w:p>
        </w:tc>
        <w:tc>
          <w:tcPr>
            <w:tcW w:w="1275" w:type="dxa"/>
            <w:shd w:val="clear" w:color="auto" w:fill="FFFFFF" w:themeFill="background1"/>
          </w:tcPr>
          <w:p w14:paraId="4ADF7723" w14:textId="77777777" w:rsidR="00984C6B" w:rsidRPr="00E658B9" w:rsidRDefault="00984C6B" w:rsidP="007774F0">
            <w:pPr>
              <w:pStyle w:val="NoSpacing"/>
            </w:pPr>
          </w:p>
        </w:tc>
        <w:tc>
          <w:tcPr>
            <w:tcW w:w="1276" w:type="dxa"/>
            <w:shd w:val="clear" w:color="auto" w:fill="FFFFFF" w:themeFill="background1"/>
          </w:tcPr>
          <w:p w14:paraId="79EA660F" w14:textId="77777777" w:rsidR="00984C6B" w:rsidRPr="002D57EA" w:rsidRDefault="00984C6B" w:rsidP="007774F0">
            <w:pPr>
              <w:pStyle w:val="NoSpacing"/>
              <w:rPr>
                <w:b/>
              </w:rPr>
            </w:pPr>
          </w:p>
        </w:tc>
        <w:tc>
          <w:tcPr>
            <w:tcW w:w="2290" w:type="dxa"/>
            <w:vMerge/>
            <w:shd w:val="clear" w:color="auto" w:fill="FFFFFF" w:themeFill="background1"/>
          </w:tcPr>
          <w:p w14:paraId="305A4051" w14:textId="77777777" w:rsidR="00984C6B" w:rsidRPr="00984C6B" w:rsidRDefault="00984C6B" w:rsidP="00984C6B">
            <w:pPr>
              <w:pStyle w:val="NoSpacing"/>
              <w:jc w:val="both"/>
              <w:rPr>
                <w:color w:val="000000"/>
                <w:shd w:val="clear" w:color="auto" w:fill="FFFFFF"/>
              </w:rPr>
            </w:pPr>
          </w:p>
        </w:tc>
      </w:tr>
      <w:tr w:rsidR="007774F0" w:rsidRPr="00984C6B" w14:paraId="21823EBB" w14:textId="77777777" w:rsidTr="004E50F7">
        <w:trPr>
          <w:trHeight w:val="295"/>
        </w:trPr>
        <w:tc>
          <w:tcPr>
            <w:tcW w:w="2280" w:type="dxa"/>
            <w:shd w:val="clear" w:color="auto" w:fill="E7E6E6" w:themeFill="background2"/>
          </w:tcPr>
          <w:p w14:paraId="7DB60F53" w14:textId="77777777" w:rsidR="007774F0" w:rsidRPr="00E658B9" w:rsidRDefault="007774F0" w:rsidP="007774F0">
            <w:pPr>
              <w:pStyle w:val="NoSpacing"/>
            </w:pPr>
            <w:r>
              <w:t>a. Level 1</w:t>
            </w:r>
          </w:p>
        </w:tc>
        <w:tc>
          <w:tcPr>
            <w:tcW w:w="1543" w:type="dxa"/>
            <w:shd w:val="clear" w:color="auto" w:fill="E7E6E6" w:themeFill="background2"/>
          </w:tcPr>
          <w:p w14:paraId="4C76DDA9" w14:textId="77777777" w:rsidR="007774F0" w:rsidRPr="00E658B9" w:rsidRDefault="007774F0" w:rsidP="007774F0">
            <w:pPr>
              <w:pStyle w:val="NoSpacing"/>
              <w:jc w:val="center"/>
            </w:pPr>
          </w:p>
        </w:tc>
        <w:tc>
          <w:tcPr>
            <w:tcW w:w="1701" w:type="dxa"/>
            <w:shd w:val="clear" w:color="auto" w:fill="E7E6E6" w:themeFill="background2"/>
          </w:tcPr>
          <w:p w14:paraId="072275A3" w14:textId="77777777" w:rsidR="007774F0" w:rsidRPr="00E658B9" w:rsidRDefault="007774F0" w:rsidP="007774F0">
            <w:pPr>
              <w:pStyle w:val="NoSpacing"/>
              <w:jc w:val="center"/>
            </w:pPr>
          </w:p>
        </w:tc>
        <w:tc>
          <w:tcPr>
            <w:tcW w:w="1275" w:type="dxa"/>
            <w:shd w:val="clear" w:color="auto" w:fill="E7E6E6" w:themeFill="background2"/>
          </w:tcPr>
          <w:p w14:paraId="5007AE81" w14:textId="77777777" w:rsidR="007774F0" w:rsidRPr="00E658B9" w:rsidRDefault="007774F0" w:rsidP="007774F0">
            <w:pPr>
              <w:pStyle w:val="NoSpacing"/>
            </w:pPr>
          </w:p>
        </w:tc>
        <w:tc>
          <w:tcPr>
            <w:tcW w:w="1276" w:type="dxa"/>
            <w:shd w:val="clear" w:color="auto" w:fill="E7E6E6" w:themeFill="background2"/>
          </w:tcPr>
          <w:p w14:paraId="51BE5EDB" w14:textId="77777777" w:rsidR="007774F0" w:rsidRPr="002D57EA" w:rsidRDefault="007774F0" w:rsidP="007774F0">
            <w:pPr>
              <w:pStyle w:val="NoSpacing"/>
              <w:rPr>
                <w:b/>
              </w:rPr>
            </w:pPr>
          </w:p>
        </w:tc>
        <w:tc>
          <w:tcPr>
            <w:tcW w:w="2290" w:type="dxa"/>
            <w:vMerge/>
            <w:shd w:val="clear" w:color="auto" w:fill="FFFFFF" w:themeFill="background1"/>
          </w:tcPr>
          <w:p w14:paraId="0F49E927" w14:textId="77777777" w:rsidR="007774F0" w:rsidRPr="00984C6B" w:rsidRDefault="007774F0" w:rsidP="00984C6B">
            <w:pPr>
              <w:pStyle w:val="NoSpacing"/>
              <w:jc w:val="both"/>
            </w:pPr>
          </w:p>
        </w:tc>
      </w:tr>
      <w:tr w:rsidR="007774F0" w:rsidRPr="00B42E7B" w14:paraId="13EA7D61" w14:textId="77777777" w:rsidTr="00253CF4">
        <w:trPr>
          <w:trHeight w:val="295"/>
        </w:trPr>
        <w:tc>
          <w:tcPr>
            <w:tcW w:w="2280" w:type="dxa"/>
            <w:shd w:val="clear" w:color="auto" w:fill="FFFFFF" w:themeFill="background1"/>
          </w:tcPr>
          <w:p w14:paraId="1CAD634D" w14:textId="77777777" w:rsidR="007774F0" w:rsidRPr="00E658B9" w:rsidRDefault="007774F0" w:rsidP="007774F0">
            <w:pPr>
              <w:pStyle w:val="NoSpacing"/>
            </w:pPr>
            <w:r>
              <w:t>a.1. Province</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752DF" w14:textId="77777777" w:rsidR="007774F0" w:rsidRDefault="007774F0" w:rsidP="007774F0">
            <w:pPr>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C2FCF1" w14:textId="77777777" w:rsidR="007774F0" w:rsidRDefault="007774F0" w:rsidP="007774F0">
            <w:pPr>
              <w:jc w:val="center"/>
              <w:rPr>
                <w:color w:val="000000"/>
                <w:sz w:val="20"/>
                <w:szCs w:val="20"/>
              </w:rPr>
            </w:pPr>
          </w:p>
        </w:tc>
        <w:tc>
          <w:tcPr>
            <w:tcW w:w="1275" w:type="dxa"/>
            <w:shd w:val="clear" w:color="auto" w:fill="FFFFFF" w:themeFill="background1"/>
          </w:tcPr>
          <w:p w14:paraId="1A6E91C7" w14:textId="77777777" w:rsidR="007774F0" w:rsidRPr="00E658B9" w:rsidRDefault="007774F0" w:rsidP="007774F0">
            <w:pPr>
              <w:pStyle w:val="NoSpacing"/>
            </w:pPr>
          </w:p>
        </w:tc>
        <w:tc>
          <w:tcPr>
            <w:tcW w:w="1276" w:type="dxa"/>
            <w:shd w:val="clear" w:color="auto" w:fill="FFFFFF" w:themeFill="background1"/>
          </w:tcPr>
          <w:p w14:paraId="1EDB4C3F" w14:textId="77777777" w:rsidR="007774F0" w:rsidRPr="002D57EA" w:rsidRDefault="007774F0" w:rsidP="007774F0">
            <w:pPr>
              <w:pStyle w:val="NoSpacing"/>
              <w:rPr>
                <w:b/>
              </w:rPr>
            </w:pPr>
          </w:p>
        </w:tc>
        <w:tc>
          <w:tcPr>
            <w:tcW w:w="2290" w:type="dxa"/>
            <w:vMerge/>
            <w:shd w:val="clear" w:color="auto" w:fill="FFFFFF" w:themeFill="background1"/>
          </w:tcPr>
          <w:p w14:paraId="5E08D544" w14:textId="77777777" w:rsidR="007774F0" w:rsidRPr="00E658B9" w:rsidRDefault="007774F0" w:rsidP="007774F0">
            <w:pPr>
              <w:pStyle w:val="NoSpacing"/>
            </w:pPr>
          </w:p>
        </w:tc>
      </w:tr>
      <w:tr w:rsidR="007774F0" w:rsidRPr="00B42E7B" w14:paraId="246DA882" w14:textId="77777777" w:rsidTr="00253CF4">
        <w:trPr>
          <w:trHeight w:val="295"/>
        </w:trPr>
        <w:tc>
          <w:tcPr>
            <w:tcW w:w="2280" w:type="dxa"/>
            <w:shd w:val="clear" w:color="auto" w:fill="FFFFFF" w:themeFill="background1"/>
          </w:tcPr>
          <w:p w14:paraId="25D8A664" w14:textId="77777777" w:rsidR="007774F0" w:rsidRPr="00E658B9" w:rsidRDefault="007774F0" w:rsidP="007774F0">
            <w:pPr>
              <w:pStyle w:val="NoSpacing"/>
            </w:pPr>
            <w:r>
              <w:t>a.2. City</w:t>
            </w:r>
          </w:p>
        </w:tc>
        <w:tc>
          <w:tcPr>
            <w:tcW w:w="1543" w:type="dxa"/>
            <w:tcBorders>
              <w:top w:val="nil"/>
              <w:left w:val="single" w:sz="4" w:space="0" w:color="000000"/>
              <w:bottom w:val="single" w:sz="4" w:space="0" w:color="000000"/>
              <w:right w:val="single" w:sz="4" w:space="0" w:color="000000"/>
            </w:tcBorders>
            <w:shd w:val="clear" w:color="auto" w:fill="auto"/>
            <w:vAlign w:val="bottom"/>
          </w:tcPr>
          <w:p w14:paraId="03740DFE" w14:textId="77777777" w:rsidR="007774F0" w:rsidRDefault="007774F0" w:rsidP="007774F0">
            <w:pPr>
              <w:jc w:val="center"/>
              <w:rPr>
                <w:color w:val="000000"/>
                <w:sz w:val="20"/>
                <w:szCs w:val="20"/>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6497D94" w14:textId="77777777" w:rsidR="007774F0" w:rsidRDefault="007774F0" w:rsidP="007774F0">
            <w:pPr>
              <w:jc w:val="center"/>
              <w:rPr>
                <w:color w:val="000000"/>
                <w:sz w:val="20"/>
                <w:szCs w:val="20"/>
              </w:rPr>
            </w:pPr>
          </w:p>
        </w:tc>
        <w:tc>
          <w:tcPr>
            <w:tcW w:w="1275" w:type="dxa"/>
            <w:shd w:val="clear" w:color="auto" w:fill="FFFFFF" w:themeFill="background1"/>
          </w:tcPr>
          <w:p w14:paraId="1C634200" w14:textId="77777777" w:rsidR="007774F0" w:rsidRPr="00E658B9" w:rsidRDefault="007774F0" w:rsidP="007774F0">
            <w:pPr>
              <w:pStyle w:val="NoSpacing"/>
            </w:pPr>
          </w:p>
        </w:tc>
        <w:tc>
          <w:tcPr>
            <w:tcW w:w="1276" w:type="dxa"/>
            <w:shd w:val="clear" w:color="auto" w:fill="FFFFFF" w:themeFill="background1"/>
          </w:tcPr>
          <w:p w14:paraId="26E7CC6C" w14:textId="77777777" w:rsidR="007774F0" w:rsidRPr="002D57EA" w:rsidRDefault="007774F0" w:rsidP="007774F0">
            <w:pPr>
              <w:pStyle w:val="NoSpacing"/>
              <w:rPr>
                <w:b/>
              </w:rPr>
            </w:pPr>
          </w:p>
        </w:tc>
        <w:tc>
          <w:tcPr>
            <w:tcW w:w="2290" w:type="dxa"/>
            <w:vMerge/>
            <w:shd w:val="clear" w:color="auto" w:fill="FFFFFF" w:themeFill="background1"/>
          </w:tcPr>
          <w:p w14:paraId="259A1D95" w14:textId="77777777" w:rsidR="007774F0" w:rsidRPr="00E658B9" w:rsidRDefault="007774F0" w:rsidP="007774F0">
            <w:pPr>
              <w:pStyle w:val="NoSpacing"/>
            </w:pPr>
          </w:p>
        </w:tc>
      </w:tr>
      <w:tr w:rsidR="007774F0" w:rsidRPr="00B42E7B" w14:paraId="4F955997" w14:textId="77777777" w:rsidTr="00253CF4">
        <w:trPr>
          <w:trHeight w:val="295"/>
        </w:trPr>
        <w:tc>
          <w:tcPr>
            <w:tcW w:w="2280" w:type="dxa"/>
            <w:shd w:val="clear" w:color="auto" w:fill="FFFFFF" w:themeFill="background1"/>
          </w:tcPr>
          <w:p w14:paraId="1DE652BA" w14:textId="77777777" w:rsidR="007774F0" w:rsidRPr="00E658B9" w:rsidRDefault="007774F0" w:rsidP="007774F0">
            <w:pPr>
              <w:pStyle w:val="NoSpacing"/>
            </w:pPr>
            <w:r>
              <w:t xml:space="preserve">a.3. Municipality </w:t>
            </w:r>
          </w:p>
        </w:tc>
        <w:tc>
          <w:tcPr>
            <w:tcW w:w="1543" w:type="dxa"/>
            <w:tcBorders>
              <w:top w:val="nil"/>
              <w:left w:val="single" w:sz="4" w:space="0" w:color="000000"/>
              <w:bottom w:val="single" w:sz="4" w:space="0" w:color="000000"/>
              <w:right w:val="single" w:sz="4" w:space="0" w:color="000000"/>
            </w:tcBorders>
            <w:shd w:val="clear" w:color="auto" w:fill="auto"/>
            <w:vAlign w:val="bottom"/>
          </w:tcPr>
          <w:p w14:paraId="280078B2" w14:textId="77777777" w:rsidR="007774F0" w:rsidRDefault="004E50F7" w:rsidP="007774F0">
            <w:pPr>
              <w:jc w:val="center"/>
              <w:rPr>
                <w:color w:val="000000"/>
                <w:sz w:val="20"/>
                <w:szCs w:val="20"/>
              </w:rPr>
            </w:pPr>
            <w:r>
              <w:rPr>
                <w:color w:val="000000"/>
                <w:sz w:val="20"/>
                <w:szCs w:val="20"/>
              </w:rPr>
              <w:t>13</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5231750" w14:textId="77777777" w:rsidR="007774F0" w:rsidRDefault="00984C6B" w:rsidP="007774F0">
            <w:pPr>
              <w:jc w:val="center"/>
              <w:rPr>
                <w:color w:val="000000"/>
                <w:sz w:val="20"/>
                <w:szCs w:val="20"/>
              </w:rPr>
            </w:pPr>
            <w:r>
              <w:rPr>
                <w:color w:val="000000"/>
                <w:sz w:val="20"/>
                <w:szCs w:val="20"/>
              </w:rPr>
              <w:t>N/A</w:t>
            </w:r>
          </w:p>
        </w:tc>
        <w:tc>
          <w:tcPr>
            <w:tcW w:w="1275" w:type="dxa"/>
            <w:shd w:val="clear" w:color="auto" w:fill="FFFFFF" w:themeFill="background1"/>
          </w:tcPr>
          <w:p w14:paraId="1E4218F4" w14:textId="77777777" w:rsidR="007774F0" w:rsidRPr="00E658B9" w:rsidRDefault="007774F0" w:rsidP="007774F0">
            <w:pPr>
              <w:pStyle w:val="NoSpacing"/>
            </w:pPr>
          </w:p>
        </w:tc>
        <w:tc>
          <w:tcPr>
            <w:tcW w:w="1276" w:type="dxa"/>
            <w:shd w:val="clear" w:color="auto" w:fill="FFFFFF" w:themeFill="background1"/>
          </w:tcPr>
          <w:p w14:paraId="68C407A7" w14:textId="77777777" w:rsidR="007774F0" w:rsidRPr="00003856" w:rsidRDefault="007774F0" w:rsidP="007774F0">
            <w:pPr>
              <w:pStyle w:val="NoSpacing"/>
            </w:pPr>
          </w:p>
        </w:tc>
        <w:tc>
          <w:tcPr>
            <w:tcW w:w="2290" w:type="dxa"/>
            <w:vMerge/>
            <w:shd w:val="clear" w:color="auto" w:fill="FFFFFF" w:themeFill="background1"/>
          </w:tcPr>
          <w:p w14:paraId="436688A7" w14:textId="77777777" w:rsidR="007774F0" w:rsidRPr="00E658B9" w:rsidRDefault="007774F0" w:rsidP="007774F0">
            <w:pPr>
              <w:pStyle w:val="NoSpacing"/>
            </w:pPr>
          </w:p>
        </w:tc>
      </w:tr>
      <w:tr w:rsidR="007774F0" w:rsidRPr="00B42E7B" w14:paraId="5F85409C" w14:textId="77777777" w:rsidTr="004E50F7">
        <w:trPr>
          <w:trHeight w:val="295"/>
        </w:trPr>
        <w:tc>
          <w:tcPr>
            <w:tcW w:w="2280" w:type="dxa"/>
            <w:shd w:val="clear" w:color="auto" w:fill="E7E6E6" w:themeFill="background2"/>
          </w:tcPr>
          <w:p w14:paraId="2F9AD76A" w14:textId="77777777" w:rsidR="007774F0" w:rsidRPr="00E658B9" w:rsidRDefault="007774F0" w:rsidP="007774F0">
            <w:pPr>
              <w:pStyle w:val="NoSpacing"/>
            </w:pPr>
            <w:r>
              <w:t>b. Level 2</w:t>
            </w:r>
          </w:p>
        </w:tc>
        <w:tc>
          <w:tcPr>
            <w:tcW w:w="1543" w:type="dxa"/>
            <w:tcBorders>
              <w:top w:val="nil"/>
              <w:left w:val="single" w:sz="4" w:space="0" w:color="000000"/>
              <w:bottom w:val="single" w:sz="4" w:space="0" w:color="000000"/>
              <w:right w:val="single" w:sz="4" w:space="0" w:color="000000"/>
            </w:tcBorders>
            <w:shd w:val="clear" w:color="auto" w:fill="E7E6E6" w:themeFill="background2"/>
            <w:vAlign w:val="bottom"/>
          </w:tcPr>
          <w:p w14:paraId="6246C403" w14:textId="77777777" w:rsidR="007774F0" w:rsidRDefault="007774F0" w:rsidP="007774F0">
            <w:pPr>
              <w:rPr>
                <w:color w:val="000000"/>
                <w:sz w:val="20"/>
                <w:szCs w:val="20"/>
              </w:rPr>
            </w:pPr>
          </w:p>
        </w:tc>
        <w:tc>
          <w:tcPr>
            <w:tcW w:w="1701" w:type="dxa"/>
            <w:tcBorders>
              <w:top w:val="nil"/>
              <w:left w:val="single" w:sz="4" w:space="0" w:color="000000"/>
              <w:bottom w:val="single" w:sz="4" w:space="0" w:color="000000"/>
              <w:right w:val="single" w:sz="4" w:space="0" w:color="000000"/>
            </w:tcBorders>
            <w:shd w:val="clear" w:color="auto" w:fill="E7E6E6" w:themeFill="background2"/>
            <w:vAlign w:val="bottom"/>
          </w:tcPr>
          <w:p w14:paraId="4FDAA45F" w14:textId="77777777" w:rsidR="007774F0" w:rsidRDefault="007774F0" w:rsidP="007774F0">
            <w:pPr>
              <w:rPr>
                <w:color w:val="000000"/>
                <w:sz w:val="20"/>
                <w:szCs w:val="20"/>
              </w:rPr>
            </w:pPr>
          </w:p>
        </w:tc>
        <w:tc>
          <w:tcPr>
            <w:tcW w:w="1275" w:type="dxa"/>
            <w:shd w:val="clear" w:color="auto" w:fill="E7E6E6" w:themeFill="background2"/>
          </w:tcPr>
          <w:p w14:paraId="11E09EF7" w14:textId="77777777" w:rsidR="007774F0" w:rsidRPr="00E658B9" w:rsidRDefault="007774F0" w:rsidP="007774F0">
            <w:pPr>
              <w:pStyle w:val="NoSpacing"/>
            </w:pPr>
          </w:p>
        </w:tc>
        <w:tc>
          <w:tcPr>
            <w:tcW w:w="1276" w:type="dxa"/>
            <w:shd w:val="clear" w:color="auto" w:fill="E7E6E6" w:themeFill="background2"/>
          </w:tcPr>
          <w:p w14:paraId="713F2406" w14:textId="77777777" w:rsidR="007774F0" w:rsidRPr="002D57EA" w:rsidRDefault="007774F0" w:rsidP="007774F0">
            <w:pPr>
              <w:pStyle w:val="NoSpacing"/>
              <w:rPr>
                <w:b/>
              </w:rPr>
            </w:pPr>
          </w:p>
        </w:tc>
        <w:tc>
          <w:tcPr>
            <w:tcW w:w="2290" w:type="dxa"/>
            <w:vMerge/>
            <w:shd w:val="clear" w:color="auto" w:fill="FFFFFF" w:themeFill="background1"/>
          </w:tcPr>
          <w:p w14:paraId="1E55E029" w14:textId="77777777" w:rsidR="007774F0" w:rsidRPr="00E658B9" w:rsidRDefault="007774F0" w:rsidP="007774F0">
            <w:pPr>
              <w:pStyle w:val="NoSpacing"/>
            </w:pPr>
          </w:p>
        </w:tc>
      </w:tr>
      <w:tr w:rsidR="007774F0" w:rsidRPr="00B42E7B" w14:paraId="7A180C24" w14:textId="77777777" w:rsidTr="00253CF4">
        <w:trPr>
          <w:trHeight w:val="295"/>
        </w:trPr>
        <w:tc>
          <w:tcPr>
            <w:tcW w:w="2280" w:type="dxa"/>
            <w:shd w:val="clear" w:color="auto" w:fill="FFFFFF" w:themeFill="background1"/>
          </w:tcPr>
          <w:p w14:paraId="160C97F6" w14:textId="77777777" w:rsidR="007774F0" w:rsidRPr="00E658B9" w:rsidRDefault="007774F0" w:rsidP="007774F0">
            <w:pPr>
              <w:pStyle w:val="NoSpacing"/>
            </w:pPr>
            <w:r>
              <w:t>b.1. Province</w:t>
            </w:r>
          </w:p>
        </w:tc>
        <w:tc>
          <w:tcPr>
            <w:tcW w:w="1543" w:type="dxa"/>
            <w:tcBorders>
              <w:top w:val="nil"/>
              <w:left w:val="single" w:sz="4" w:space="0" w:color="000000"/>
              <w:bottom w:val="single" w:sz="4" w:space="0" w:color="000000"/>
              <w:right w:val="single" w:sz="4" w:space="0" w:color="000000"/>
            </w:tcBorders>
            <w:shd w:val="clear" w:color="auto" w:fill="FFFFFF" w:themeFill="background1"/>
            <w:vAlign w:val="bottom"/>
          </w:tcPr>
          <w:p w14:paraId="7C2E726F" w14:textId="77777777" w:rsidR="007774F0" w:rsidRDefault="004E50F7" w:rsidP="007774F0">
            <w:pPr>
              <w:jc w:val="center"/>
              <w:rPr>
                <w:color w:val="000000"/>
                <w:sz w:val="20"/>
                <w:szCs w:val="20"/>
              </w:rPr>
            </w:pPr>
            <w:r>
              <w:rPr>
                <w:color w:val="000000"/>
                <w:sz w:val="20"/>
                <w:szCs w:val="20"/>
              </w:rPr>
              <w:t>1</w:t>
            </w:r>
          </w:p>
        </w:tc>
        <w:tc>
          <w:tcPr>
            <w:tcW w:w="1701" w:type="dxa"/>
            <w:tcBorders>
              <w:top w:val="nil"/>
              <w:left w:val="single" w:sz="4" w:space="0" w:color="000000"/>
              <w:bottom w:val="single" w:sz="4" w:space="0" w:color="000000"/>
              <w:right w:val="single" w:sz="4" w:space="0" w:color="000000"/>
            </w:tcBorders>
            <w:shd w:val="clear" w:color="auto" w:fill="FFFFFF" w:themeFill="background1"/>
            <w:vAlign w:val="bottom"/>
          </w:tcPr>
          <w:p w14:paraId="1CE903C3" w14:textId="77777777" w:rsidR="007774F0" w:rsidRDefault="00984C6B" w:rsidP="007774F0">
            <w:pPr>
              <w:jc w:val="center"/>
              <w:rPr>
                <w:color w:val="000000"/>
                <w:sz w:val="20"/>
                <w:szCs w:val="20"/>
              </w:rPr>
            </w:pPr>
            <w:r>
              <w:rPr>
                <w:color w:val="000000"/>
                <w:sz w:val="20"/>
                <w:szCs w:val="20"/>
              </w:rPr>
              <w:t>N/A</w:t>
            </w:r>
          </w:p>
        </w:tc>
        <w:tc>
          <w:tcPr>
            <w:tcW w:w="1275" w:type="dxa"/>
            <w:shd w:val="clear" w:color="auto" w:fill="FFFFFF" w:themeFill="background1"/>
          </w:tcPr>
          <w:p w14:paraId="324217FF" w14:textId="77777777" w:rsidR="007774F0" w:rsidRPr="00E658B9" w:rsidRDefault="007774F0" w:rsidP="007774F0">
            <w:pPr>
              <w:pStyle w:val="NoSpacing"/>
            </w:pPr>
          </w:p>
        </w:tc>
        <w:tc>
          <w:tcPr>
            <w:tcW w:w="1276" w:type="dxa"/>
            <w:shd w:val="clear" w:color="auto" w:fill="FFFFFF" w:themeFill="background1"/>
          </w:tcPr>
          <w:p w14:paraId="2C9F6868" w14:textId="77777777" w:rsidR="007774F0" w:rsidRDefault="007774F0" w:rsidP="007774F0"/>
        </w:tc>
        <w:tc>
          <w:tcPr>
            <w:tcW w:w="2290" w:type="dxa"/>
            <w:vMerge/>
            <w:shd w:val="clear" w:color="auto" w:fill="FFFFFF" w:themeFill="background1"/>
          </w:tcPr>
          <w:p w14:paraId="7A751E4B" w14:textId="77777777" w:rsidR="007774F0" w:rsidRPr="00E658B9" w:rsidRDefault="007774F0" w:rsidP="007774F0">
            <w:pPr>
              <w:pStyle w:val="NoSpacing"/>
            </w:pPr>
          </w:p>
        </w:tc>
      </w:tr>
      <w:tr w:rsidR="007774F0" w:rsidRPr="00B42E7B" w14:paraId="0DB6C2BD" w14:textId="77777777" w:rsidTr="00253CF4">
        <w:trPr>
          <w:trHeight w:val="295"/>
        </w:trPr>
        <w:tc>
          <w:tcPr>
            <w:tcW w:w="2280" w:type="dxa"/>
            <w:shd w:val="clear" w:color="auto" w:fill="FFFFFF" w:themeFill="background1"/>
          </w:tcPr>
          <w:p w14:paraId="0796CCAC" w14:textId="77777777" w:rsidR="007774F0" w:rsidRPr="00E658B9" w:rsidRDefault="007774F0" w:rsidP="007774F0">
            <w:pPr>
              <w:pStyle w:val="NoSpacing"/>
            </w:pPr>
            <w:r>
              <w:t>b.2. City</w:t>
            </w:r>
          </w:p>
        </w:tc>
        <w:tc>
          <w:tcPr>
            <w:tcW w:w="1543" w:type="dxa"/>
            <w:tcBorders>
              <w:top w:val="nil"/>
              <w:left w:val="single" w:sz="4" w:space="0" w:color="000000"/>
              <w:bottom w:val="single" w:sz="4" w:space="0" w:color="000000"/>
              <w:right w:val="single" w:sz="4" w:space="0" w:color="000000"/>
            </w:tcBorders>
            <w:shd w:val="clear" w:color="auto" w:fill="FFFFFF" w:themeFill="background1"/>
            <w:vAlign w:val="bottom"/>
          </w:tcPr>
          <w:p w14:paraId="3F36A53F" w14:textId="77777777" w:rsidR="007774F0" w:rsidRDefault="004E50F7" w:rsidP="007774F0">
            <w:pPr>
              <w:jc w:val="center"/>
              <w:rPr>
                <w:color w:val="000000"/>
                <w:sz w:val="20"/>
                <w:szCs w:val="20"/>
              </w:rPr>
            </w:pPr>
            <w:r>
              <w:rPr>
                <w:color w:val="000000"/>
                <w:sz w:val="20"/>
                <w:szCs w:val="20"/>
              </w:rPr>
              <w:t>1</w:t>
            </w:r>
          </w:p>
        </w:tc>
        <w:tc>
          <w:tcPr>
            <w:tcW w:w="1701" w:type="dxa"/>
            <w:tcBorders>
              <w:top w:val="nil"/>
              <w:left w:val="single" w:sz="4" w:space="0" w:color="000000"/>
              <w:bottom w:val="single" w:sz="4" w:space="0" w:color="000000"/>
              <w:right w:val="single" w:sz="4" w:space="0" w:color="000000"/>
            </w:tcBorders>
            <w:shd w:val="clear" w:color="auto" w:fill="FFFFFF" w:themeFill="background1"/>
            <w:vAlign w:val="bottom"/>
          </w:tcPr>
          <w:p w14:paraId="2E6E35A8" w14:textId="77777777" w:rsidR="007774F0" w:rsidRDefault="00984C6B" w:rsidP="007774F0">
            <w:pPr>
              <w:jc w:val="center"/>
              <w:rPr>
                <w:color w:val="000000"/>
                <w:sz w:val="20"/>
                <w:szCs w:val="20"/>
              </w:rPr>
            </w:pPr>
            <w:r>
              <w:rPr>
                <w:color w:val="000000"/>
                <w:sz w:val="20"/>
                <w:szCs w:val="20"/>
              </w:rPr>
              <w:t>N/A</w:t>
            </w:r>
          </w:p>
        </w:tc>
        <w:tc>
          <w:tcPr>
            <w:tcW w:w="1275" w:type="dxa"/>
            <w:shd w:val="clear" w:color="auto" w:fill="FFFFFF" w:themeFill="background1"/>
          </w:tcPr>
          <w:p w14:paraId="550D4AB7" w14:textId="77777777" w:rsidR="007774F0" w:rsidRPr="00E658B9" w:rsidRDefault="007774F0" w:rsidP="007774F0">
            <w:pPr>
              <w:pStyle w:val="NoSpacing"/>
            </w:pPr>
          </w:p>
        </w:tc>
        <w:tc>
          <w:tcPr>
            <w:tcW w:w="1276" w:type="dxa"/>
            <w:shd w:val="clear" w:color="auto" w:fill="FFFFFF" w:themeFill="background1"/>
          </w:tcPr>
          <w:p w14:paraId="79F842C4" w14:textId="77777777" w:rsidR="007774F0" w:rsidRDefault="007774F0" w:rsidP="007774F0"/>
        </w:tc>
        <w:tc>
          <w:tcPr>
            <w:tcW w:w="2290" w:type="dxa"/>
            <w:vMerge/>
            <w:shd w:val="clear" w:color="auto" w:fill="FFFFFF" w:themeFill="background1"/>
          </w:tcPr>
          <w:p w14:paraId="442655CF" w14:textId="77777777" w:rsidR="007774F0" w:rsidRPr="00E658B9" w:rsidRDefault="007774F0" w:rsidP="007774F0">
            <w:pPr>
              <w:pStyle w:val="NoSpacing"/>
            </w:pPr>
          </w:p>
        </w:tc>
      </w:tr>
      <w:tr w:rsidR="007774F0" w:rsidRPr="00B42E7B" w14:paraId="2B9C63BE" w14:textId="77777777" w:rsidTr="00253CF4">
        <w:trPr>
          <w:trHeight w:val="295"/>
        </w:trPr>
        <w:tc>
          <w:tcPr>
            <w:tcW w:w="2280" w:type="dxa"/>
            <w:shd w:val="clear" w:color="auto" w:fill="FFFFFF" w:themeFill="background1"/>
          </w:tcPr>
          <w:p w14:paraId="37598CA6" w14:textId="77777777" w:rsidR="007774F0" w:rsidRPr="00E658B9" w:rsidRDefault="007774F0" w:rsidP="007774F0">
            <w:pPr>
              <w:pStyle w:val="NoSpacing"/>
            </w:pPr>
            <w:r>
              <w:t xml:space="preserve">b.3. Municipality </w:t>
            </w:r>
          </w:p>
        </w:tc>
        <w:tc>
          <w:tcPr>
            <w:tcW w:w="1543" w:type="dxa"/>
            <w:tcBorders>
              <w:top w:val="nil"/>
              <w:left w:val="single" w:sz="4" w:space="0" w:color="000000"/>
              <w:bottom w:val="single" w:sz="4" w:space="0" w:color="000000"/>
              <w:right w:val="single" w:sz="4" w:space="0" w:color="000000"/>
            </w:tcBorders>
            <w:shd w:val="clear" w:color="auto" w:fill="FFFFFF" w:themeFill="background1"/>
            <w:vAlign w:val="bottom"/>
          </w:tcPr>
          <w:p w14:paraId="01759ACB" w14:textId="77777777" w:rsidR="007774F0" w:rsidRDefault="004E50F7" w:rsidP="007774F0">
            <w:pPr>
              <w:jc w:val="center"/>
              <w:rPr>
                <w:color w:val="000000"/>
                <w:sz w:val="20"/>
                <w:szCs w:val="20"/>
              </w:rPr>
            </w:pPr>
            <w:r>
              <w:rPr>
                <w:color w:val="000000"/>
                <w:sz w:val="20"/>
                <w:szCs w:val="20"/>
              </w:rPr>
              <w:t>5</w:t>
            </w:r>
          </w:p>
        </w:tc>
        <w:tc>
          <w:tcPr>
            <w:tcW w:w="1701" w:type="dxa"/>
            <w:tcBorders>
              <w:top w:val="nil"/>
              <w:left w:val="single" w:sz="4" w:space="0" w:color="000000"/>
              <w:bottom w:val="single" w:sz="4" w:space="0" w:color="000000"/>
              <w:right w:val="single" w:sz="4" w:space="0" w:color="000000"/>
            </w:tcBorders>
            <w:shd w:val="clear" w:color="auto" w:fill="FFFFFF" w:themeFill="background1"/>
            <w:vAlign w:val="bottom"/>
          </w:tcPr>
          <w:p w14:paraId="17C01319" w14:textId="77777777" w:rsidR="007774F0" w:rsidRDefault="00984C6B" w:rsidP="007774F0">
            <w:pPr>
              <w:jc w:val="center"/>
              <w:rPr>
                <w:color w:val="000000"/>
                <w:sz w:val="20"/>
                <w:szCs w:val="20"/>
              </w:rPr>
            </w:pPr>
            <w:r>
              <w:rPr>
                <w:color w:val="000000"/>
                <w:sz w:val="20"/>
                <w:szCs w:val="20"/>
              </w:rPr>
              <w:t>N/A</w:t>
            </w:r>
          </w:p>
        </w:tc>
        <w:tc>
          <w:tcPr>
            <w:tcW w:w="1275" w:type="dxa"/>
            <w:shd w:val="clear" w:color="auto" w:fill="FFFFFF" w:themeFill="background1"/>
          </w:tcPr>
          <w:p w14:paraId="3EA96626" w14:textId="77777777" w:rsidR="007774F0" w:rsidRPr="00E658B9" w:rsidRDefault="007774F0" w:rsidP="007774F0">
            <w:pPr>
              <w:pStyle w:val="NoSpacing"/>
            </w:pPr>
          </w:p>
        </w:tc>
        <w:tc>
          <w:tcPr>
            <w:tcW w:w="1276" w:type="dxa"/>
            <w:shd w:val="clear" w:color="auto" w:fill="FFFFFF" w:themeFill="background1"/>
          </w:tcPr>
          <w:p w14:paraId="03C08A66" w14:textId="77777777" w:rsidR="007774F0" w:rsidRDefault="007774F0" w:rsidP="007774F0"/>
        </w:tc>
        <w:tc>
          <w:tcPr>
            <w:tcW w:w="2290" w:type="dxa"/>
            <w:vMerge/>
            <w:shd w:val="clear" w:color="auto" w:fill="FFFFFF" w:themeFill="background1"/>
          </w:tcPr>
          <w:p w14:paraId="0C8A2AE6" w14:textId="77777777" w:rsidR="007774F0" w:rsidRPr="00E658B9" w:rsidRDefault="007774F0" w:rsidP="007774F0">
            <w:pPr>
              <w:pStyle w:val="NoSpacing"/>
            </w:pPr>
          </w:p>
        </w:tc>
      </w:tr>
      <w:tr w:rsidR="007774F0" w:rsidRPr="00B42E7B" w14:paraId="23D2D499" w14:textId="77777777" w:rsidTr="00984C6B">
        <w:trPr>
          <w:trHeight w:val="295"/>
        </w:trPr>
        <w:tc>
          <w:tcPr>
            <w:tcW w:w="22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9AB2D9E" w14:textId="77777777" w:rsidR="007774F0" w:rsidRPr="0021604C" w:rsidRDefault="007774F0" w:rsidP="007774F0">
            <w:pPr>
              <w:rPr>
                <w:bCs/>
                <w:color w:val="000000"/>
                <w:szCs w:val="20"/>
              </w:rPr>
            </w:pPr>
            <w:r w:rsidRPr="0021604C">
              <w:rPr>
                <w:bCs/>
                <w:color w:val="000000"/>
                <w:szCs w:val="20"/>
              </w:rPr>
              <w:t>c. Level 3</w:t>
            </w:r>
          </w:p>
        </w:tc>
        <w:tc>
          <w:tcPr>
            <w:tcW w:w="1543" w:type="dxa"/>
            <w:tcBorders>
              <w:top w:val="nil"/>
              <w:left w:val="single" w:sz="4" w:space="0" w:color="000000"/>
              <w:bottom w:val="single" w:sz="4" w:space="0" w:color="000000"/>
              <w:right w:val="single" w:sz="4" w:space="0" w:color="000000"/>
            </w:tcBorders>
            <w:shd w:val="clear" w:color="auto" w:fill="E7E6E6" w:themeFill="background2"/>
            <w:vAlign w:val="bottom"/>
          </w:tcPr>
          <w:p w14:paraId="2701C5B7" w14:textId="77777777" w:rsidR="007774F0" w:rsidRDefault="007774F0" w:rsidP="007774F0">
            <w:pPr>
              <w:rPr>
                <w:color w:val="000000"/>
                <w:sz w:val="20"/>
                <w:szCs w:val="20"/>
              </w:rPr>
            </w:pPr>
          </w:p>
        </w:tc>
        <w:tc>
          <w:tcPr>
            <w:tcW w:w="1701" w:type="dxa"/>
            <w:tcBorders>
              <w:top w:val="nil"/>
              <w:left w:val="single" w:sz="4" w:space="0" w:color="000000"/>
              <w:bottom w:val="single" w:sz="4" w:space="0" w:color="000000"/>
              <w:right w:val="single" w:sz="4" w:space="0" w:color="000000"/>
            </w:tcBorders>
            <w:shd w:val="clear" w:color="auto" w:fill="E7E6E6" w:themeFill="background2"/>
            <w:vAlign w:val="bottom"/>
          </w:tcPr>
          <w:p w14:paraId="0A0AC39E" w14:textId="77777777" w:rsidR="007774F0" w:rsidRDefault="007774F0" w:rsidP="007774F0">
            <w:pPr>
              <w:rPr>
                <w:color w:val="000000"/>
                <w:sz w:val="20"/>
                <w:szCs w:val="20"/>
              </w:rPr>
            </w:pPr>
          </w:p>
        </w:tc>
        <w:tc>
          <w:tcPr>
            <w:tcW w:w="1275" w:type="dxa"/>
            <w:shd w:val="clear" w:color="auto" w:fill="E7E6E6" w:themeFill="background2"/>
          </w:tcPr>
          <w:p w14:paraId="59FF3879" w14:textId="77777777" w:rsidR="007774F0" w:rsidRPr="00E658B9" w:rsidRDefault="007774F0" w:rsidP="007774F0">
            <w:pPr>
              <w:pStyle w:val="NoSpacing"/>
            </w:pPr>
          </w:p>
        </w:tc>
        <w:tc>
          <w:tcPr>
            <w:tcW w:w="1276" w:type="dxa"/>
            <w:shd w:val="clear" w:color="auto" w:fill="E7E6E6" w:themeFill="background2"/>
          </w:tcPr>
          <w:p w14:paraId="2F265D03" w14:textId="77777777" w:rsidR="007774F0" w:rsidRPr="002D57EA" w:rsidRDefault="007774F0" w:rsidP="007774F0">
            <w:pPr>
              <w:pStyle w:val="NoSpacing"/>
              <w:rPr>
                <w:b/>
              </w:rPr>
            </w:pPr>
          </w:p>
        </w:tc>
        <w:tc>
          <w:tcPr>
            <w:tcW w:w="2290" w:type="dxa"/>
            <w:vMerge/>
            <w:shd w:val="clear" w:color="auto" w:fill="FFFFFF" w:themeFill="background1"/>
          </w:tcPr>
          <w:p w14:paraId="6DCB1ADF" w14:textId="77777777" w:rsidR="007774F0" w:rsidRPr="00E658B9" w:rsidRDefault="007774F0" w:rsidP="007774F0">
            <w:pPr>
              <w:pStyle w:val="NoSpacing"/>
            </w:pPr>
          </w:p>
        </w:tc>
      </w:tr>
      <w:tr w:rsidR="007774F0" w:rsidRPr="00B42E7B" w14:paraId="0EF59DC4" w14:textId="77777777" w:rsidTr="00253CF4">
        <w:trPr>
          <w:trHeight w:val="295"/>
        </w:trPr>
        <w:tc>
          <w:tcPr>
            <w:tcW w:w="2280" w:type="dxa"/>
            <w:tcBorders>
              <w:top w:val="nil"/>
              <w:left w:val="single" w:sz="4" w:space="0" w:color="000000"/>
              <w:bottom w:val="single" w:sz="4" w:space="0" w:color="000000"/>
              <w:right w:val="single" w:sz="4" w:space="0" w:color="000000"/>
            </w:tcBorders>
            <w:shd w:val="clear" w:color="auto" w:fill="FFFFFF" w:themeFill="background1"/>
            <w:vAlign w:val="bottom"/>
          </w:tcPr>
          <w:p w14:paraId="6A32C786" w14:textId="77777777" w:rsidR="007774F0" w:rsidRPr="0021604C" w:rsidRDefault="007774F0" w:rsidP="007774F0">
            <w:pPr>
              <w:rPr>
                <w:color w:val="000000"/>
                <w:szCs w:val="20"/>
              </w:rPr>
            </w:pPr>
            <w:r w:rsidRPr="0021604C">
              <w:rPr>
                <w:color w:val="000000"/>
                <w:szCs w:val="20"/>
              </w:rPr>
              <w:t>c.1 Province</w:t>
            </w:r>
          </w:p>
        </w:tc>
        <w:tc>
          <w:tcPr>
            <w:tcW w:w="1543" w:type="dxa"/>
            <w:tcBorders>
              <w:top w:val="nil"/>
              <w:left w:val="single" w:sz="4" w:space="0" w:color="000000"/>
              <w:bottom w:val="single" w:sz="4" w:space="0" w:color="000000"/>
              <w:right w:val="single" w:sz="4" w:space="0" w:color="000000"/>
            </w:tcBorders>
            <w:shd w:val="clear" w:color="auto" w:fill="FFFFFF" w:themeFill="background1"/>
            <w:vAlign w:val="bottom"/>
          </w:tcPr>
          <w:p w14:paraId="391D46A2" w14:textId="77777777" w:rsidR="007774F0" w:rsidRDefault="007774F0" w:rsidP="007774F0">
            <w:pPr>
              <w:jc w:val="center"/>
              <w:rPr>
                <w:color w:val="000000"/>
                <w:sz w:val="20"/>
                <w:szCs w:val="20"/>
              </w:rPr>
            </w:pPr>
          </w:p>
        </w:tc>
        <w:tc>
          <w:tcPr>
            <w:tcW w:w="1701" w:type="dxa"/>
            <w:tcBorders>
              <w:top w:val="nil"/>
              <w:left w:val="single" w:sz="4" w:space="0" w:color="000000"/>
              <w:bottom w:val="single" w:sz="4" w:space="0" w:color="000000"/>
              <w:right w:val="single" w:sz="4" w:space="0" w:color="000000"/>
            </w:tcBorders>
            <w:shd w:val="clear" w:color="auto" w:fill="FFFFFF" w:themeFill="background1"/>
            <w:vAlign w:val="bottom"/>
          </w:tcPr>
          <w:p w14:paraId="332B7E5B" w14:textId="77777777" w:rsidR="007774F0" w:rsidRDefault="007774F0" w:rsidP="007774F0">
            <w:pPr>
              <w:jc w:val="center"/>
              <w:rPr>
                <w:color w:val="000000"/>
                <w:sz w:val="20"/>
                <w:szCs w:val="20"/>
              </w:rPr>
            </w:pPr>
          </w:p>
        </w:tc>
        <w:tc>
          <w:tcPr>
            <w:tcW w:w="1275" w:type="dxa"/>
            <w:shd w:val="clear" w:color="auto" w:fill="FFFFFF" w:themeFill="background1"/>
          </w:tcPr>
          <w:p w14:paraId="269B4A2B" w14:textId="77777777" w:rsidR="007774F0" w:rsidRPr="00E658B9" w:rsidRDefault="007774F0" w:rsidP="007774F0">
            <w:pPr>
              <w:pStyle w:val="NoSpacing"/>
            </w:pPr>
          </w:p>
        </w:tc>
        <w:tc>
          <w:tcPr>
            <w:tcW w:w="1276" w:type="dxa"/>
            <w:shd w:val="clear" w:color="auto" w:fill="FFFFFF" w:themeFill="background1"/>
          </w:tcPr>
          <w:p w14:paraId="2E7916AF" w14:textId="77777777" w:rsidR="007774F0" w:rsidRDefault="007774F0" w:rsidP="007774F0"/>
        </w:tc>
        <w:tc>
          <w:tcPr>
            <w:tcW w:w="2290" w:type="dxa"/>
            <w:vMerge/>
            <w:shd w:val="clear" w:color="auto" w:fill="FFFFFF" w:themeFill="background1"/>
          </w:tcPr>
          <w:p w14:paraId="766800DA" w14:textId="77777777" w:rsidR="007774F0" w:rsidRPr="00E658B9" w:rsidRDefault="007774F0" w:rsidP="007774F0">
            <w:pPr>
              <w:pStyle w:val="NoSpacing"/>
            </w:pPr>
          </w:p>
        </w:tc>
      </w:tr>
      <w:tr w:rsidR="007774F0" w:rsidRPr="00B42E7B" w14:paraId="0E37D721" w14:textId="77777777" w:rsidTr="00253CF4">
        <w:trPr>
          <w:trHeight w:val="295"/>
        </w:trPr>
        <w:tc>
          <w:tcPr>
            <w:tcW w:w="2280" w:type="dxa"/>
            <w:tcBorders>
              <w:top w:val="nil"/>
              <w:left w:val="single" w:sz="4" w:space="0" w:color="000000"/>
              <w:bottom w:val="single" w:sz="4" w:space="0" w:color="auto"/>
              <w:right w:val="single" w:sz="4" w:space="0" w:color="000000"/>
            </w:tcBorders>
            <w:shd w:val="clear" w:color="auto" w:fill="FFFFFF" w:themeFill="background1"/>
            <w:vAlign w:val="bottom"/>
          </w:tcPr>
          <w:p w14:paraId="7FB21156" w14:textId="77777777" w:rsidR="007774F0" w:rsidRPr="0021604C" w:rsidRDefault="007774F0" w:rsidP="007774F0">
            <w:pPr>
              <w:rPr>
                <w:color w:val="000000"/>
                <w:szCs w:val="20"/>
              </w:rPr>
            </w:pPr>
            <w:r w:rsidRPr="0021604C">
              <w:rPr>
                <w:color w:val="000000"/>
                <w:szCs w:val="20"/>
              </w:rPr>
              <w:t>c.2 City</w:t>
            </w:r>
          </w:p>
        </w:tc>
        <w:tc>
          <w:tcPr>
            <w:tcW w:w="1543" w:type="dxa"/>
            <w:tcBorders>
              <w:top w:val="nil"/>
              <w:left w:val="single" w:sz="4" w:space="0" w:color="000000"/>
              <w:bottom w:val="single" w:sz="4" w:space="0" w:color="auto"/>
              <w:right w:val="single" w:sz="4" w:space="0" w:color="000000"/>
            </w:tcBorders>
            <w:shd w:val="clear" w:color="auto" w:fill="FFFFFF" w:themeFill="background1"/>
            <w:vAlign w:val="bottom"/>
          </w:tcPr>
          <w:p w14:paraId="6D5005BA" w14:textId="77777777" w:rsidR="007774F0" w:rsidRDefault="007774F0" w:rsidP="007774F0">
            <w:pPr>
              <w:jc w:val="center"/>
              <w:rPr>
                <w:color w:val="000000"/>
                <w:sz w:val="20"/>
                <w:szCs w:val="20"/>
              </w:rPr>
            </w:pPr>
          </w:p>
        </w:tc>
        <w:tc>
          <w:tcPr>
            <w:tcW w:w="1701" w:type="dxa"/>
            <w:tcBorders>
              <w:top w:val="nil"/>
              <w:left w:val="single" w:sz="4" w:space="0" w:color="000000"/>
              <w:bottom w:val="single" w:sz="4" w:space="0" w:color="auto"/>
              <w:right w:val="single" w:sz="4" w:space="0" w:color="000000"/>
            </w:tcBorders>
            <w:shd w:val="clear" w:color="auto" w:fill="FFFFFF" w:themeFill="background1"/>
            <w:vAlign w:val="bottom"/>
          </w:tcPr>
          <w:p w14:paraId="31F8A995" w14:textId="77777777" w:rsidR="007774F0" w:rsidRDefault="007774F0" w:rsidP="007774F0">
            <w:pPr>
              <w:jc w:val="center"/>
              <w:rPr>
                <w:color w:val="000000"/>
                <w:sz w:val="20"/>
                <w:szCs w:val="20"/>
              </w:rPr>
            </w:pPr>
          </w:p>
        </w:tc>
        <w:tc>
          <w:tcPr>
            <w:tcW w:w="1275" w:type="dxa"/>
            <w:tcBorders>
              <w:bottom w:val="single" w:sz="4" w:space="0" w:color="auto"/>
            </w:tcBorders>
            <w:shd w:val="clear" w:color="auto" w:fill="FFFFFF" w:themeFill="background1"/>
          </w:tcPr>
          <w:p w14:paraId="2B8E7A18" w14:textId="77777777" w:rsidR="007774F0" w:rsidRPr="00E658B9" w:rsidRDefault="007774F0" w:rsidP="007774F0">
            <w:pPr>
              <w:pStyle w:val="NoSpacing"/>
            </w:pPr>
          </w:p>
        </w:tc>
        <w:tc>
          <w:tcPr>
            <w:tcW w:w="1276" w:type="dxa"/>
            <w:shd w:val="clear" w:color="auto" w:fill="FFFFFF" w:themeFill="background1"/>
          </w:tcPr>
          <w:p w14:paraId="13EEB0B4" w14:textId="77777777" w:rsidR="007774F0" w:rsidRDefault="007774F0" w:rsidP="007774F0"/>
        </w:tc>
        <w:tc>
          <w:tcPr>
            <w:tcW w:w="2290" w:type="dxa"/>
            <w:vMerge/>
            <w:shd w:val="clear" w:color="auto" w:fill="FFFFFF" w:themeFill="background1"/>
          </w:tcPr>
          <w:p w14:paraId="46FDB5E4" w14:textId="77777777" w:rsidR="007774F0" w:rsidRPr="00E658B9" w:rsidRDefault="007774F0" w:rsidP="007774F0">
            <w:pPr>
              <w:pStyle w:val="NoSpacing"/>
            </w:pPr>
          </w:p>
        </w:tc>
      </w:tr>
      <w:tr w:rsidR="007774F0" w:rsidRPr="00B42E7B" w14:paraId="44478C84" w14:textId="77777777" w:rsidTr="00253CF4">
        <w:trPr>
          <w:trHeight w:val="295"/>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44C4AA" w14:textId="77777777" w:rsidR="007774F0" w:rsidRPr="0021604C" w:rsidRDefault="007774F0" w:rsidP="007774F0">
            <w:pPr>
              <w:rPr>
                <w:color w:val="000000"/>
                <w:szCs w:val="20"/>
              </w:rPr>
            </w:pPr>
            <w:r w:rsidRPr="0021604C">
              <w:rPr>
                <w:color w:val="000000"/>
                <w:szCs w:val="20"/>
              </w:rPr>
              <w:t>c.3 Municipality</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395FA9" w14:textId="77777777" w:rsidR="007774F0" w:rsidRDefault="007774F0" w:rsidP="007774F0">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17AF30" w14:textId="77777777" w:rsidR="007774F0" w:rsidRDefault="007774F0" w:rsidP="007774F0">
            <w:pPr>
              <w:jc w:val="center"/>
              <w:rPr>
                <w:color w:val="000000"/>
                <w:sz w:val="20"/>
                <w:szCs w:val="20"/>
              </w:rPr>
            </w:pPr>
          </w:p>
        </w:tc>
        <w:tc>
          <w:tcPr>
            <w:tcW w:w="1275" w:type="dxa"/>
            <w:tcBorders>
              <w:top w:val="single" w:sz="4" w:space="0" w:color="auto"/>
              <w:left w:val="single" w:sz="4" w:space="0" w:color="auto"/>
              <w:bottom w:val="single" w:sz="4" w:space="0" w:color="auto"/>
            </w:tcBorders>
            <w:shd w:val="clear" w:color="auto" w:fill="FFFFFF" w:themeFill="background1"/>
          </w:tcPr>
          <w:p w14:paraId="47A88147" w14:textId="77777777" w:rsidR="007774F0" w:rsidRPr="00E658B9" w:rsidRDefault="007774F0" w:rsidP="007774F0">
            <w:pPr>
              <w:pStyle w:val="NoSpacing"/>
            </w:pPr>
          </w:p>
        </w:tc>
        <w:tc>
          <w:tcPr>
            <w:tcW w:w="1276" w:type="dxa"/>
            <w:shd w:val="clear" w:color="auto" w:fill="FFFFFF" w:themeFill="background1"/>
          </w:tcPr>
          <w:p w14:paraId="26746D84" w14:textId="77777777" w:rsidR="007774F0" w:rsidRDefault="007774F0" w:rsidP="007774F0"/>
        </w:tc>
        <w:tc>
          <w:tcPr>
            <w:tcW w:w="2290" w:type="dxa"/>
            <w:vMerge/>
            <w:shd w:val="clear" w:color="auto" w:fill="FFFFFF" w:themeFill="background1"/>
          </w:tcPr>
          <w:p w14:paraId="5B9A29EF" w14:textId="77777777" w:rsidR="007774F0" w:rsidRPr="00E658B9" w:rsidRDefault="007774F0" w:rsidP="007774F0">
            <w:pPr>
              <w:pStyle w:val="NoSpacing"/>
            </w:pPr>
          </w:p>
        </w:tc>
      </w:tr>
      <w:tr w:rsidR="007774F0" w:rsidRPr="00B42E7B" w14:paraId="47920D95" w14:textId="77777777" w:rsidTr="00253CF4">
        <w:trPr>
          <w:trHeight w:val="295"/>
        </w:trPr>
        <w:tc>
          <w:tcPr>
            <w:tcW w:w="228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7E683DD" w14:textId="77777777" w:rsidR="007774F0" w:rsidRPr="0021604C" w:rsidRDefault="007774F0" w:rsidP="007774F0">
            <w:pPr>
              <w:rPr>
                <w:bCs/>
                <w:color w:val="000000"/>
                <w:szCs w:val="20"/>
              </w:rPr>
            </w:pPr>
            <w:r w:rsidRPr="0021604C">
              <w:rPr>
                <w:bCs/>
                <w:color w:val="000000"/>
                <w:szCs w:val="20"/>
              </w:rPr>
              <w:lastRenderedPageBreak/>
              <w:t>d. Low or Below Level 1</w:t>
            </w:r>
          </w:p>
        </w:tc>
        <w:tc>
          <w:tcPr>
            <w:tcW w:w="1543"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14:paraId="315D7BF2" w14:textId="77777777" w:rsidR="007774F0" w:rsidRDefault="004E50F7" w:rsidP="007774F0">
            <w:pPr>
              <w:rPr>
                <w:color w:val="000000"/>
                <w:sz w:val="20"/>
                <w:szCs w:val="20"/>
              </w:rPr>
            </w:pPr>
            <w:r>
              <w:rPr>
                <w:color w:val="000000"/>
                <w:sz w:val="20"/>
                <w:szCs w:val="20"/>
              </w:rPr>
              <w:t>1</w:t>
            </w:r>
          </w:p>
        </w:tc>
        <w:tc>
          <w:tcPr>
            <w:tcW w:w="1701"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14:paraId="6A68B167" w14:textId="77777777" w:rsidR="007774F0" w:rsidRDefault="007774F0" w:rsidP="007774F0">
            <w:pPr>
              <w:rPr>
                <w:color w:val="000000"/>
                <w:sz w:val="20"/>
                <w:szCs w:val="20"/>
              </w:rPr>
            </w:pPr>
          </w:p>
        </w:tc>
        <w:tc>
          <w:tcPr>
            <w:tcW w:w="1275" w:type="dxa"/>
            <w:tcBorders>
              <w:top w:val="single" w:sz="4" w:space="0" w:color="auto"/>
            </w:tcBorders>
            <w:shd w:val="clear" w:color="auto" w:fill="FFFFFF" w:themeFill="background1"/>
          </w:tcPr>
          <w:p w14:paraId="4D6AA8FD" w14:textId="77777777" w:rsidR="007774F0" w:rsidRPr="00E658B9" w:rsidRDefault="007774F0" w:rsidP="007774F0">
            <w:pPr>
              <w:pStyle w:val="NoSpacing"/>
            </w:pPr>
          </w:p>
        </w:tc>
        <w:tc>
          <w:tcPr>
            <w:tcW w:w="1276" w:type="dxa"/>
            <w:shd w:val="clear" w:color="auto" w:fill="FFFFFF" w:themeFill="background1"/>
          </w:tcPr>
          <w:p w14:paraId="0FE1D352" w14:textId="77777777" w:rsidR="007774F0" w:rsidRPr="002D57EA" w:rsidRDefault="007774F0" w:rsidP="007774F0">
            <w:pPr>
              <w:pStyle w:val="NoSpacing"/>
              <w:rPr>
                <w:b/>
              </w:rPr>
            </w:pPr>
          </w:p>
        </w:tc>
        <w:tc>
          <w:tcPr>
            <w:tcW w:w="2290" w:type="dxa"/>
            <w:shd w:val="clear" w:color="auto" w:fill="FFFFFF" w:themeFill="background1"/>
          </w:tcPr>
          <w:p w14:paraId="6574A95C" w14:textId="77777777" w:rsidR="007774F0" w:rsidRPr="00E658B9" w:rsidRDefault="007774F0" w:rsidP="007774F0">
            <w:pPr>
              <w:pStyle w:val="NoSpacing"/>
            </w:pPr>
          </w:p>
        </w:tc>
      </w:tr>
      <w:tr w:rsidR="007774F0" w:rsidRPr="00B42E7B" w14:paraId="77507D70" w14:textId="77777777" w:rsidTr="00253CF4">
        <w:trPr>
          <w:trHeight w:val="295"/>
        </w:trPr>
        <w:tc>
          <w:tcPr>
            <w:tcW w:w="2280" w:type="dxa"/>
            <w:tcBorders>
              <w:top w:val="nil"/>
              <w:left w:val="single" w:sz="4" w:space="0" w:color="000000"/>
              <w:bottom w:val="single" w:sz="4" w:space="0" w:color="000000"/>
              <w:right w:val="single" w:sz="4" w:space="0" w:color="000000"/>
            </w:tcBorders>
            <w:shd w:val="clear" w:color="auto" w:fill="FFFFFF" w:themeFill="background1"/>
            <w:vAlign w:val="bottom"/>
          </w:tcPr>
          <w:p w14:paraId="491FDAD4" w14:textId="77777777" w:rsidR="007774F0" w:rsidRPr="0021604C" w:rsidRDefault="007774F0" w:rsidP="007774F0">
            <w:pPr>
              <w:rPr>
                <w:color w:val="000000"/>
                <w:szCs w:val="20"/>
              </w:rPr>
            </w:pPr>
            <w:r w:rsidRPr="0021604C">
              <w:rPr>
                <w:color w:val="000000"/>
                <w:szCs w:val="20"/>
              </w:rPr>
              <w:t>d.1 Province</w:t>
            </w:r>
          </w:p>
        </w:tc>
        <w:tc>
          <w:tcPr>
            <w:tcW w:w="1543" w:type="dxa"/>
            <w:tcBorders>
              <w:top w:val="nil"/>
              <w:left w:val="single" w:sz="4" w:space="0" w:color="000000"/>
              <w:bottom w:val="single" w:sz="4" w:space="0" w:color="000000"/>
              <w:right w:val="single" w:sz="4" w:space="0" w:color="000000"/>
            </w:tcBorders>
            <w:shd w:val="clear" w:color="auto" w:fill="FFFFFF" w:themeFill="background1"/>
            <w:vAlign w:val="bottom"/>
          </w:tcPr>
          <w:p w14:paraId="661ADEB7" w14:textId="77777777" w:rsidR="007774F0" w:rsidRDefault="007774F0" w:rsidP="007774F0">
            <w:pPr>
              <w:jc w:val="center"/>
              <w:rPr>
                <w:color w:val="000000"/>
                <w:sz w:val="20"/>
                <w:szCs w:val="20"/>
              </w:rPr>
            </w:pPr>
          </w:p>
        </w:tc>
        <w:tc>
          <w:tcPr>
            <w:tcW w:w="1701" w:type="dxa"/>
            <w:tcBorders>
              <w:top w:val="nil"/>
              <w:left w:val="single" w:sz="4" w:space="0" w:color="000000"/>
              <w:bottom w:val="single" w:sz="4" w:space="0" w:color="000000"/>
              <w:right w:val="single" w:sz="4" w:space="0" w:color="000000"/>
            </w:tcBorders>
            <w:shd w:val="clear" w:color="auto" w:fill="FFFFFF" w:themeFill="background1"/>
            <w:vAlign w:val="bottom"/>
          </w:tcPr>
          <w:p w14:paraId="2FDEFB4E" w14:textId="77777777" w:rsidR="007774F0" w:rsidRDefault="007774F0" w:rsidP="007774F0">
            <w:pPr>
              <w:jc w:val="center"/>
              <w:rPr>
                <w:color w:val="000000"/>
                <w:sz w:val="20"/>
                <w:szCs w:val="20"/>
              </w:rPr>
            </w:pPr>
          </w:p>
        </w:tc>
        <w:tc>
          <w:tcPr>
            <w:tcW w:w="1275" w:type="dxa"/>
            <w:shd w:val="clear" w:color="auto" w:fill="FFFFFF" w:themeFill="background1"/>
          </w:tcPr>
          <w:p w14:paraId="185BBD99" w14:textId="77777777" w:rsidR="007774F0" w:rsidRPr="00E658B9" w:rsidRDefault="007774F0" w:rsidP="007774F0">
            <w:pPr>
              <w:pStyle w:val="NoSpacing"/>
            </w:pPr>
          </w:p>
        </w:tc>
        <w:tc>
          <w:tcPr>
            <w:tcW w:w="1276" w:type="dxa"/>
            <w:shd w:val="clear" w:color="auto" w:fill="FFFFFF" w:themeFill="background1"/>
          </w:tcPr>
          <w:p w14:paraId="12855D64" w14:textId="77777777" w:rsidR="007774F0" w:rsidRPr="002D57EA" w:rsidRDefault="007774F0" w:rsidP="007774F0">
            <w:pPr>
              <w:pStyle w:val="NoSpacing"/>
              <w:rPr>
                <w:b/>
              </w:rPr>
            </w:pPr>
          </w:p>
        </w:tc>
        <w:tc>
          <w:tcPr>
            <w:tcW w:w="2290" w:type="dxa"/>
            <w:shd w:val="clear" w:color="auto" w:fill="FFFFFF" w:themeFill="background1"/>
          </w:tcPr>
          <w:p w14:paraId="215C91C2" w14:textId="77777777" w:rsidR="007774F0" w:rsidRPr="00E658B9" w:rsidRDefault="007774F0" w:rsidP="007774F0">
            <w:pPr>
              <w:pStyle w:val="NoSpacing"/>
            </w:pPr>
          </w:p>
        </w:tc>
      </w:tr>
      <w:tr w:rsidR="007774F0" w:rsidRPr="00B42E7B" w14:paraId="241B3A9F" w14:textId="77777777" w:rsidTr="00253CF4">
        <w:trPr>
          <w:trHeight w:val="295"/>
        </w:trPr>
        <w:tc>
          <w:tcPr>
            <w:tcW w:w="2280" w:type="dxa"/>
            <w:tcBorders>
              <w:top w:val="nil"/>
              <w:left w:val="single" w:sz="4" w:space="0" w:color="000000"/>
              <w:bottom w:val="single" w:sz="4" w:space="0" w:color="auto"/>
              <w:right w:val="single" w:sz="4" w:space="0" w:color="000000"/>
            </w:tcBorders>
            <w:shd w:val="clear" w:color="auto" w:fill="FFFFFF" w:themeFill="background1"/>
            <w:vAlign w:val="bottom"/>
          </w:tcPr>
          <w:p w14:paraId="65E93A34" w14:textId="77777777" w:rsidR="007774F0" w:rsidRPr="0021604C" w:rsidRDefault="007774F0" w:rsidP="007774F0">
            <w:pPr>
              <w:rPr>
                <w:color w:val="000000"/>
                <w:szCs w:val="20"/>
              </w:rPr>
            </w:pPr>
            <w:r w:rsidRPr="0021604C">
              <w:rPr>
                <w:color w:val="000000"/>
                <w:szCs w:val="20"/>
              </w:rPr>
              <w:t>d.2 City</w:t>
            </w:r>
          </w:p>
        </w:tc>
        <w:tc>
          <w:tcPr>
            <w:tcW w:w="1543" w:type="dxa"/>
            <w:tcBorders>
              <w:top w:val="nil"/>
              <w:left w:val="single" w:sz="4" w:space="0" w:color="000000"/>
              <w:bottom w:val="single" w:sz="4" w:space="0" w:color="auto"/>
              <w:right w:val="single" w:sz="4" w:space="0" w:color="000000"/>
            </w:tcBorders>
            <w:shd w:val="clear" w:color="auto" w:fill="FFFFFF" w:themeFill="background1"/>
            <w:vAlign w:val="bottom"/>
          </w:tcPr>
          <w:p w14:paraId="3F6ADB4C" w14:textId="77777777" w:rsidR="007774F0" w:rsidRDefault="007774F0" w:rsidP="007774F0">
            <w:pPr>
              <w:jc w:val="center"/>
              <w:rPr>
                <w:color w:val="000000"/>
                <w:sz w:val="20"/>
                <w:szCs w:val="20"/>
              </w:rPr>
            </w:pPr>
          </w:p>
        </w:tc>
        <w:tc>
          <w:tcPr>
            <w:tcW w:w="1701" w:type="dxa"/>
            <w:tcBorders>
              <w:top w:val="nil"/>
              <w:left w:val="single" w:sz="4" w:space="0" w:color="000000"/>
              <w:bottom w:val="single" w:sz="4" w:space="0" w:color="auto"/>
              <w:right w:val="single" w:sz="4" w:space="0" w:color="000000"/>
            </w:tcBorders>
            <w:shd w:val="clear" w:color="auto" w:fill="FFFFFF" w:themeFill="background1"/>
            <w:vAlign w:val="bottom"/>
          </w:tcPr>
          <w:p w14:paraId="016BB680" w14:textId="77777777" w:rsidR="007774F0" w:rsidRDefault="007774F0" w:rsidP="007774F0">
            <w:pPr>
              <w:jc w:val="center"/>
              <w:rPr>
                <w:color w:val="000000"/>
                <w:sz w:val="20"/>
                <w:szCs w:val="20"/>
              </w:rPr>
            </w:pPr>
          </w:p>
        </w:tc>
        <w:tc>
          <w:tcPr>
            <w:tcW w:w="1275" w:type="dxa"/>
            <w:shd w:val="clear" w:color="auto" w:fill="FFFFFF" w:themeFill="background1"/>
          </w:tcPr>
          <w:p w14:paraId="1C44EF58" w14:textId="77777777" w:rsidR="007774F0" w:rsidRPr="00E658B9" w:rsidRDefault="007774F0" w:rsidP="007774F0">
            <w:pPr>
              <w:pStyle w:val="NoSpacing"/>
            </w:pPr>
          </w:p>
        </w:tc>
        <w:tc>
          <w:tcPr>
            <w:tcW w:w="1276" w:type="dxa"/>
            <w:shd w:val="clear" w:color="auto" w:fill="FFFFFF" w:themeFill="background1"/>
          </w:tcPr>
          <w:p w14:paraId="1B9EC835" w14:textId="77777777" w:rsidR="007774F0" w:rsidRPr="002D57EA" w:rsidRDefault="007774F0" w:rsidP="007774F0">
            <w:pPr>
              <w:pStyle w:val="NoSpacing"/>
              <w:rPr>
                <w:b/>
              </w:rPr>
            </w:pPr>
          </w:p>
        </w:tc>
        <w:tc>
          <w:tcPr>
            <w:tcW w:w="2290" w:type="dxa"/>
            <w:shd w:val="clear" w:color="auto" w:fill="FFFFFF" w:themeFill="background1"/>
          </w:tcPr>
          <w:p w14:paraId="357351F0" w14:textId="77777777" w:rsidR="007774F0" w:rsidRPr="00E658B9" w:rsidRDefault="007774F0" w:rsidP="007774F0">
            <w:pPr>
              <w:pStyle w:val="NoSpacing"/>
            </w:pPr>
          </w:p>
        </w:tc>
      </w:tr>
      <w:tr w:rsidR="007774F0" w:rsidRPr="00B42E7B" w14:paraId="05FCD0E8" w14:textId="77777777" w:rsidTr="00253CF4">
        <w:trPr>
          <w:trHeight w:val="295"/>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A49A10" w14:textId="77777777" w:rsidR="007774F0" w:rsidRPr="0021604C" w:rsidRDefault="007774F0" w:rsidP="007774F0">
            <w:pPr>
              <w:rPr>
                <w:color w:val="000000"/>
                <w:szCs w:val="20"/>
              </w:rPr>
            </w:pPr>
            <w:r w:rsidRPr="0021604C">
              <w:rPr>
                <w:color w:val="000000"/>
                <w:szCs w:val="20"/>
              </w:rPr>
              <w:t>d.3 Municipality</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B72969" w14:textId="77777777" w:rsidR="007774F0" w:rsidRDefault="007774F0" w:rsidP="007774F0">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BC7391" w14:textId="77777777" w:rsidR="007774F0" w:rsidRDefault="007774F0" w:rsidP="007774F0">
            <w:pPr>
              <w:jc w:val="center"/>
              <w:rPr>
                <w:color w:val="000000"/>
                <w:sz w:val="20"/>
                <w:szCs w:val="20"/>
              </w:rPr>
            </w:pPr>
          </w:p>
        </w:tc>
        <w:tc>
          <w:tcPr>
            <w:tcW w:w="1275" w:type="dxa"/>
            <w:shd w:val="clear" w:color="auto" w:fill="FFFFFF" w:themeFill="background1"/>
          </w:tcPr>
          <w:p w14:paraId="0DAA5406" w14:textId="77777777" w:rsidR="007774F0" w:rsidRPr="00E658B9" w:rsidRDefault="007774F0" w:rsidP="007774F0">
            <w:pPr>
              <w:pStyle w:val="NoSpacing"/>
            </w:pPr>
          </w:p>
        </w:tc>
        <w:tc>
          <w:tcPr>
            <w:tcW w:w="1276" w:type="dxa"/>
            <w:shd w:val="clear" w:color="auto" w:fill="FFFFFF" w:themeFill="background1"/>
          </w:tcPr>
          <w:p w14:paraId="5A66358E" w14:textId="77777777" w:rsidR="007774F0" w:rsidRPr="00003856" w:rsidRDefault="007774F0" w:rsidP="007774F0">
            <w:pPr>
              <w:pStyle w:val="NoSpacing"/>
            </w:pPr>
          </w:p>
        </w:tc>
        <w:tc>
          <w:tcPr>
            <w:tcW w:w="2290" w:type="dxa"/>
            <w:shd w:val="clear" w:color="auto" w:fill="FFFFFF" w:themeFill="background1"/>
          </w:tcPr>
          <w:p w14:paraId="1E217E73" w14:textId="77777777" w:rsidR="007774F0" w:rsidRPr="00E658B9" w:rsidRDefault="007774F0" w:rsidP="007774F0">
            <w:pPr>
              <w:pStyle w:val="NoSpacing"/>
            </w:pPr>
          </w:p>
        </w:tc>
      </w:tr>
    </w:tbl>
    <w:p w14:paraId="4EE70090" w14:textId="77777777" w:rsidR="0068148D" w:rsidRPr="00B42E7B" w:rsidRDefault="0068148D" w:rsidP="0068148D">
      <w:pPr>
        <w:jc w:val="center"/>
        <w:rPr>
          <w:color w:val="000000" w:themeColor="text1"/>
        </w:rPr>
      </w:pPr>
    </w:p>
    <w:p w14:paraId="0F0D7B91" w14:textId="77777777" w:rsidR="0068148D" w:rsidRPr="007C3880" w:rsidRDefault="0068148D" w:rsidP="0068148D">
      <w:pPr>
        <w:spacing w:before="240" w:after="240"/>
        <w:jc w:val="center"/>
        <w:rPr>
          <w:b/>
          <w:color w:val="000000" w:themeColor="text1"/>
        </w:rPr>
      </w:pPr>
      <w:r w:rsidRPr="00B42E7B">
        <w:rPr>
          <w:b/>
          <w:color w:val="000000" w:themeColor="text1"/>
        </w:rPr>
        <w:t xml:space="preserve">Table 2. Targets versus Accomplishments on Output </w:t>
      </w:r>
      <w:r w:rsidR="00A04702">
        <w:rPr>
          <w:b/>
          <w:color w:val="000000" w:themeColor="text1"/>
        </w:rPr>
        <w:t xml:space="preserve">Level </w:t>
      </w:r>
      <w:r w:rsidRPr="00B42E7B">
        <w:rPr>
          <w:b/>
          <w:color w:val="000000" w:themeColor="text1"/>
        </w:rPr>
        <w:t>Indicators of Office/Program</w:t>
      </w:r>
    </w:p>
    <w:tbl>
      <w:tblPr>
        <w:tblStyle w:val="TableGrid"/>
        <w:tblW w:w="10365" w:type="dxa"/>
        <w:tblLayout w:type="fixed"/>
        <w:tblLook w:val="0600" w:firstRow="0" w:lastRow="0" w:firstColumn="0" w:lastColumn="0" w:noHBand="1" w:noVBand="1"/>
      </w:tblPr>
      <w:tblGrid>
        <w:gridCol w:w="2280"/>
        <w:gridCol w:w="1543"/>
        <w:gridCol w:w="1559"/>
        <w:gridCol w:w="1559"/>
        <w:gridCol w:w="1276"/>
        <w:gridCol w:w="2148"/>
      </w:tblGrid>
      <w:tr w:rsidR="0068148D" w:rsidRPr="002D57EA" w14:paraId="1EFD8F06" w14:textId="77777777" w:rsidTr="00DF371E">
        <w:trPr>
          <w:trHeight w:val="295"/>
        </w:trPr>
        <w:tc>
          <w:tcPr>
            <w:tcW w:w="2280" w:type="dxa"/>
            <w:tcBorders>
              <w:bottom w:val="single" w:sz="4" w:space="0" w:color="auto"/>
            </w:tcBorders>
            <w:shd w:val="clear" w:color="auto" w:fill="DEEAF6" w:themeFill="accent1" w:themeFillTint="33"/>
          </w:tcPr>
          <w:p w14:paraId="134A28B2" w14:textId="77777777" w:rsidR="0068148D" w:rsidRDefault="0068148D" w:rsidP="0068148D">
            <w:pPr>
              <w:pStyle w:val="NoSpacing"/>
              <w:rPr>
                <w:b/>
              </w:rPr>
            </w:pPr>
            <w:r>
              <w:rPr>
                <w:b/>
              </w:rPr>
              <w:t>Output</w:t>
            </w:r>
          </w:p>
          <w:p w14:paraId="1F07DEED" w14:textId="77777777" w:rsidR="0068148D" w:rsidRPr="002D57EA" w:rsidRDefault="0068148D" w:rsidP="0068148D">
            <w:pPr>
              <w:pStyle w:val="NoSpacing"/>
              <w:rPr>
                <w:b/>
              </w:rPr>
            </w:pPr>
            <w:r w:rsidRPr="002D57EA">
              <w:rPr>
                <w:b/>
              </w:rPr>
              <w:t>Indicators</w:t>
            </w:r>
          </w:p>
        </w:tc>
        <w:tc>
          <w:tcPr>
            <w:tcW w:w="1543" w:type="dxa"/>
            <w:shd w:val="clear" w:color="auto" w:fill="DEEAF6" w:themeFill="accent1" w:themeFillTint="33"/>
          </w:tcPr>
          <w:p w14:paraId="0BFFEEA9" w14:textId="77777777" w:rsidR="0068148D" w:rsidRPr="002D57EA" w:rsidRDefault="0068148D" w:rsidP="0068148D">
            <w:pPr>
              <w:pStyle w:val="NoSpacing"/>
              <w:jc w:val="center"/>
              <w:rPr>
                <w:b/>
              </w:rPr>
            </w:pPr>
            <w:r w:rsidRPr="002D57EA">
              <w:rPr>
                <w:b/>
              </w:rPr>
              <w:t>Targets</w:t>
            </w:r>
          </w:p>
          <w:p w14:paraId="74738496" w14:textId="77777777" w:rsidR="0068148D" w:rsidRPr="002D57EA" w:rsidRDefault="0068148D" w:rsidP="0068148D">
            <w:pPr>
              <w:pStyle w:val="NoSpacing"/>
              <w:jc w:val="center"/>
              <w:rPr>
                <w:b/>
              </w:rPr>
            </w:pPr>
          </w:p>
        </w:tc>
        <w:tc>
          <w:tcPr>
            <w:tcW w:w="1559" w:type="dxa"/>
            <w:shd w:val="clear" w:color="auto" w:fill="DEEAF6" w:themeFill="accent1" w:themeFillTint="33"/>
          </w:tcPr>
          <w:p w14:paraId="0EB25B5E" w14:textId="77777777" w:rsidR="0068148D" w:rsidRPr="002D57EA" w:rsidRDefault="0068148D" w:rsidP="0068148D">
            <w:pPr>
              <w:pStyle w:val="NoSpacing"/>
              <w:jc w:val="center"/>
              <w:rPr>
                <w:b/>
              </w:rPr>
            </w:pPr>
            <w:r w:rsidRPr="002D57EA">
              <w:rPr>
                <w:b/>
              </w:rPr>
              <w:t>Accomplishments</w:t>
            </w:r>
          </w:p>
        </w:tc>
        <w:tc>
          <w:tcPr>
            <w:tcW w:w="1559" w:type="dxa"/>
            <w:shd w:val="clear" w:color="auto" w:fill="DEEAF6" w:themeFill="accent1" w:themeFillTint="33"/>
          </w:tcPr>
          <w:p w14:paraId="6B67D5C6" w14:textId="77777777" w:rsidR="0068148D" w:rsidRPr="002D57EA" w:rsidRDefault="0068148D" w:rsidP="0068148D">
            <w:pPr>
              <w:pStyle w:val="NoSpacing"/>
              <w:rPr>
                <w:b/>
              </w:rPr>
            </w:pPr>
            <w:r w:rsidRPr="002D57EA">
              <w:rPr>
                <w:b/>
              </w:rPr>
              <w:t>Variance</w:t>
            </w:r>
          </w:p>
        </w:tc>
        <w:tc>
          <w:tcPr>
            <w:tcW w:w="1276" w:type="dxa"/>
            <w:shd w:val="clear" w:color="auto" w:fill="DEEAF6" w:themeFill="accent1" w:themeFillTint="33"/>
          </w:tcPr>
          <w:p w14:paraId="098108B7" w14:textId="77777777" w:rsidR="0068148D" w:rsidRPr="002D57EA" w:rsidRDefault="0068148D" w:rsidP="0068148D">
            <w:pPr>
              <w:pStyle w:val="NoSpacing"/>
              <w:rPr>
                <w:b/>
              </w:rPr>
            </w:pPr>
            <w:r w:rsidRPr="002D57EA">
              <w:rPr>
                <w:b/>
              </w:rPr>
              <w:t>Assessment</w:t>
            </w:r>
          </w:p>
        </w:tc>
        <w:tc>
          <w:tcPr>
            <w:tcW w:w="2148" w:type="dxa"/>
            <w:shd w:val="clear" w:color="auto" w:fill="DEEAF6" w:themeFill="accent1" w:themeFillTint="33"/>
          </w:tcPr>
          <w:p w14:paraId="36380AA8" w14:textId="77777777" w:rsidR="0068148D" w:rsidRPr="002D57EA" w:rsidRDefault="0068148D" w:rsidP="0068148D">
            <w:pPr>
              <w:pStyle w:val="NoSpacing"/>
              <w:rPr>
                <w:b/>
              </w:rPr>
            </w:pPr>
            <w:r w:rsidRPr="002D57EA">
              <w:rPr>
                <w:b/>
              </w:rPr>
              <w:t>Remarks/Reasons for Variance</w:t>
            </w:r>
          </w:p>
        </w:tc>
      </w:tr>
      <w:tr w:rsidR="0068148D" w:rsidRPr="002D57EA" w14:paraId="2D2712B0" w14:textId="77777777" w:rsidTr="0068148D">
        <w:trPr>
          <w:trHeight w:val="295"/>
        </w:trPr>
        <w:tc>
          <w:tcPr>
            <w:tcW w:w="10365" w:type="dxa"/>
            <w:gridSpan w:val="6"/>
            <w:shd w:val="clear" w:color="auto" w:fill="FBE4D5" w:themeFill="accent2" w:themeFillTint="33"/>
          </w:tcPr>
          <w:p w14:paraId="0064914E" w14:textId="77777777" w:rsidR="0068148D" w:rsidRDefault="0068148D" w:rsidP="0068148D">
            <w:pPr>
              <w:pStyle w:val="NoSpacing"/>
              <w:rPr>
                <w:b/>
              </w:rPr>
            </w:pPr>
            <w:r w:rsidRPr="009D2010">
              <w:rPr>
                <w:b/>
              </w:rPr>
              <w:t>Organizational Outcome 1: Wellbeing Of Poor Families Improved</w:t>
            </w:r>
          </w:p>
        </w:tc>
      </w:tr>
      <w:tr w:rsidR="0068148D" w:rsidRPr="002D57EA" w14:paraId="00FAB5D8" w14:textId="77777777" w:rsidTr="0068148D">
        <w:trPr>
          <w:trHeight w:val="295"/>
        </w:trPr>
        <w:tc>
          <w:tcPr>
            <w:tcW w:w="10365" w:type="dxa"/>
            <w:gridSpan w:val="6"/>
            <w:shd w:val="clear" w:color="auto" w:fill="FFFFFF" w:themeFill="background1"/>
          </w:tcPr>
          <w:p w14:paraId="4F04AA01" w14:textId="77777777" w:rsidR="0068148D" w:rsidRPr="00265FD2" w:rsidRDefault="0068148D" w:rsidP="0068148D">
            <w:pPr>
              <w:pStyle w:val="NoSpacing"/>
              <w:rPr>
                <w:b/>
              </w:rPr>
            </w:pPr>
            <w:r>
              <w:rPr>
                <w:b/>
              </w:rPr>
              <w:t>Pantawid Pamilyang Pilipino Program</w:t>
            </w:r>
          </w:p>
        </w:tc>
      </w:tr>
      <w:tr w:rsidR="0068148D" w:rsidRPr="00E658B9" w14:paraId="56C8466F" w14:textId="77777777" w:rsidTr="00DF371E">
        <w:trPr>
          <w:trHeight w:val="295"/>
        </w:trPr>
        <w:tc>
          <w:tcPr>
            <w:tcW w:w="2280" w:type="dxa"/>
          </w:tcPr>
          <w:p w14:paraId="2D1ECBE7" w14:textId="77777777" w:rsidR="0068148D" w:rsidRPr="00B42E7B" w:rsidRDefault="0068148D" w:rsidP="0068148D">
            <w:pPr>
              <w:pStyle w:val="NoSpacing"/>
            </w:pPr>
            <w:r>
              <w:t>1.9.</w:t>
            </w:r>
            <w:r w:rsidRPr="008065A8">
              <w:t>Number of Pantawid households provided with conditional cash grants</w:t>
            </w:r>
          </w:p>
        </w:tc>
        <w:tc>
          <w:tcPr>
            <w:tcW w:w="1543" w:type="dxa"/>
          </w:tcPr>
          <w:p w14:paraId="11812BBF" w14:textId="77777777" w:rsidR="0068148D" w:rsidRPr="00B42E7B" w:rsidRDefault="00A04702" w:rsidP="0068148D">
            <w:pPr>
              <w:pStyle w:val="NoSpacing"/>
              <w:jc w:val="center"/>
            </w:pPr>
            <w:r>
              <w:t>106,212</w:t>
            </w:r>
          </w:p>
        </w:tc>
        <w:tc>
          <w:tcPr>
            <w:tcW w:w="1559" w:type="dxa"/>
          </w:tcPr>
          <w:p w14:paraId="237800AA" w14:textId="77777777" w:rsidR="0068148D" w:rsidRPr="00B42E7B" w:rsidRDefault="00A04702" w:rsidP="0068148D">
            <w:pPr>
              <w:pStyle w:val="NoSpacing"/>
              <w:jc w:val="center"/>
            </w:pPr>
            <w:r>
              <w:t>103,967</w:t>
            </w:r>
          </w:p>
        </w:tc>
        <w:tc>
          <w:tcPr>
            <w:tcW w:w="1559" w:type="dxa"/>
          </w:tcPr>
          <w:p w14:paraId="4DBE336A" w14:textId="77777777" w:rsidR="0068148D" w:rsidRPr="00B42E7B" w:rsidRDefault="00A04702" w:rsidP="0068148D">
            <w:pPr>
              <w:pStyle w:val="NoSpacing"/>
            </w:pPr>
            <w:r>
              <w:t>-2,245</w:t>
            </w:r>
          </w:p>
        </w:tc>
        <w:tc>
          <w:tcPr>
            <w:tcW w:w="1276" w:type="dxa"/>
          </w:tcPr>
          <w:p w14:paraId="14C74DCD" w14:textId="77777777" w:rsidR="0068148D" w:rsidRPr="00B42E7B" w:rsidRDefault="00A04702" w:rsidP="0068148D">
            <w:pPr>
              <w:pStyle w:val="NoSpacing"/>
            </w:pPr>
            <w:r>
              <w:t>Minor Deviation</w:t>
            </w:r>
          </w:p>
        </w:tc>
        <w:tc>
          <w:tcPr>
            <w:tcW w:w="2148" w:type="dxa"/>
          </w:tcPr>
          <w:p w14:paraId="3D007D00" w14:textId="77777777" w:rsidR="0068148D" w:rsidRPr="00A04702" w:rsidRDefault="00A04702" w:rsidP="0068148D">
            <w:pPr>
              <w:pStyle w:val="NoSpacing"/>
            </w:pPr>
            <w:r w:rsidRPr="00A04702">
              <w:rPr>
                <w:color w:val="000000"/>
                <w:shd w:val="clear" w:color="auto" w:fill="FFFFFF"/>
              </w:rPr>
              <w:t xml:space="preserve">Cash grants for MCCT are withheld from period 6 2021 to </w:t>
            </w:r>
            <w:r w:rsidR="00900B27">
              <w:rPr>
                <w:color w:val="000000"/>
                <w:shd w:val="clear" w:color="auto" w:fill="FFFFFF"/>
              </w:rPr>
              <w:t xml:space="preserve">the </w:t>
            </w:r>
            <w:r w:rsidRPr="00A04702">
              <w:rPr>
                <w:color w:val="000000"/>
                <w:shd w:val="clear" w:color="auto" w:fill="FFFFFF"/>
              </w:rPr>
              <w:t>present.</w:t>
            </w:r>
          </w:p>
        </w:tc>
      </w:tr>
      <w:tr w:rsidR="0068148D" w:rsidRPr="00E658B9" w14:paraId="703E40A7" w14:textId="77777777" w:rsidTr="00DF371E">
        <w:trPr>
          <w:trHeight w:val="295"/>
        </w:trPr>
        <w:tc>
          <w:tcPr>
            <w:tcW w:w="2280" w:type="dxa"/>
          </w:tcPr>
          <w:p w14:paraId="5C42FD91" w14:textId="77777777" w:rsidR="0068148D" w:rsidRPr="0021604C" w:rsidRDefault="0068148D" w:rsidP="0068148D">
            <w:pPr>
              <w:pStyle w:val="NoSpacing"/>
            </w:pPr>
            <w:r w:rsidRPr="0021604C">
              <w:t>1.10. Percentage of Pantawid Pamilya-related grievances resolved within established time protocol</w:t>
            </w:r>
          </w:p>
        </w:tc>
        <w:tc>
          <w:tcPr>
            <w:tcW w:w="1543" w:type="dxa"/>
          </w:tcPr>
          <w:p w14:paraId="11069D70" w14:textId="77777777" w:rsidR="0068148D" w:rsidRPr="0021604C" w:rsidRDefault="00900B27" w:rsidP="0068148D">
            <w:pPr>
              <w:pStyle w:val="NoSpacing"/>
              <w:jc w:val="center"/>
            </w:pPr>
            <w:r>
              <w:t>99.20%</w:t>
            </w:r>
          </w:p>
        </w:tc>
        <w:tc>
          <w:tcPr>
            <w:tcW w:w="1559" w:type="dxa"/>
          </w:tcPr>
          <w:p w14:paraId="45D28B88" w14:textId="77777777" w:rsidR="0068148D" w:rsidRPr="0021604C" w:rsidRDefault="00900B27" w:rsidP="00900B27">
            <w:pPr>
              <w:pStyle w:val="NoSpacing"/>
              <w:tabs>
                <w:tab w:val="left" w:pos="441"/>
                <w:tab w:val="center" w:pos="742"/>
              </w:tabs>
              <w:jc w:val="center"/>
            </w:pPr>
            <w:r>
              <w:t>99.38%</w:t>
            </w:r>
          </w:p>
        </w:tc>
        <w:tc>
          <w:tcPr>
            <w:tcW w:w="1559" w:type="dxa"/>
          </w:tcPr>
          <w:p w14:paraId="393FC2F0" w14:textId="77777777" w:rsidR="0068148D" w:rsidRPr="0021604C" w:rsidRDefault="00900B27" w:rsidP="0068148D">
            <w:pPr>
              <w:pStyle w:val="NoSpacing"/>
            </w:pPr>
            <w:r>
              <w:t>.+18%</w:t>
            </w:r>
          </w:p>
        </w:tc>
        <w:tc>
          <w:tcPr>
            <w:tcW w:w="1276" w:type="dxa"/>
          </w:tcPr>
          <w:p w14:paraId="5E26458E" w14:textId="77777777" w:rsidR="0068148D" w:rsidRPr="0021604C" w:rsidRDefault="00900B27" w:rsidP="0068148D">
            <w:pPr>
              <w:pStyle w:val="NoSpacing"/>
            </w:pPr>
            <w:r>
              <w:t>Full Target Achieved</w:t>
            </w:r>
          </w:p>
        </w:tc>
        <w:tc>
          <w:tcPr>
            <w:tcW w:w="2148" w:type="dxa"/>
          </w:tcPr>
          <w:p w14:paraId="7D4746A7" w14:textId="77777777" w:rsidR="00900B27" w:rsidRDefault="00900B27" w:rsidP="00900B27">
            <w:pPr>
              <w:pStyle w:val="NoSpacing"/>
            </w:pPr>
            <w:r>
              <w:t>Data as of June 29, 2022:</w:t>
            </w:r>
          </w:p>
          <w:p w14:paraId="326E6E5A" w14:textId="77777777" w:rsidR="00900B27" w:rsidRDefault="00900B27" w:rsidP="00900B27">
            <w:pPr>
              <w:pStyle w:val="NoSpacing"/>
            </w:pPr>
            <w:r>
              <w:t>Data is computed using the formula: Resolved grievances within prescribed timeline/Total resolved grievances</w:t>
            </w:r>
          </w:p>
          <w:p w14:paraId="518C4BEF" w14:textId="77777777" w:rsidR="00900B27" w:rsidRDefault="00900B27" w:rsidP="00900B27">
            <w:pPr>
              <w:pStyle w:val="NoSpacing"/>
            </w:pPr>
          </w:p>
          <w:p w14:paraId="0E49F67B" w14:textId="77777777" w:rsidR="00900B27" w:rsidRDefault="00900B27" w:rsidP="00900B27">
            <w:pPr>
              <w:pStyle w:val="NoSpacing"/>
            </w:pPr>
            <w:r>
              <w:t>Resolved grievances: 226</w:t>
            </w:r>
          </w:p>
          <w:p w14:paraId="46817A51" w14:textId="77777777" w:rsidR="0068148D" w:rsidRPr="0021604C" w:rsidRDefault="00900B27" w:rsidP="00900B27">
            <w:pPr>
              <w:pStyle w:val="NoSpacing"/>
            </w:pPr>
            <w:r>
              <w:t>Resolved grievances within the prescribed timeline: 225</w:t>
            </w:r>
          </w:p>
        </w:tc>
      </w:tr>
      <w:tr w:rsidR="0068148D" w:rsidRPr="00E658B9" w14:paraId="7190D54A" w14:textId="77777777" w:rsidTr="00DF371E">
        <w:trPr>
          <w:trHeight w:val="295"/>
        </w:trPr>
        <w:tc>
          <w:tcPr>
            <w:tcW w:w="2280" w:type="dxa"/>
          </w:tcPr>
          <w:p w14:paraId="1F432E99" w14:textId="77777777" w:rsidR="0068148D" w:rsidRPr="0021604C" w:rsidRDefault="0068148D" w:rsidP="0068148D">
            <w:pPr>
              <w:pStyle w:val="NoSpacing"/>
            </w:pPr>
            <w:r w:rsidRPr="0021604C">
              <w:t>Total No. grievances received</w:t>
            </w:r>
          </w:p>
        </w:tc>
        <w:tc>
          <w:tcPr>
            <w:tcW w:w="1543" w:type="dxa"/>
          </w:tcPr>
          <w:p w14:paraId="6F5F54A8" w14:textId="77777777" w:rsidR="0068148D" w:rsidRPr="0021604C" w:rsidRDefault="00900B27" w:rsidP="0068148D">
            <w:pPr>
              <w:pStyle w:val="NoSpacing"/>
              <w:jc w:val="center"/>
            </w:pPr>
            <w:r>
              <w:t>ANA</w:t>
            </w:r>
          </w:p>
        </w:tc>
        <w:tc>
          <w:tcPr>
            <w:tcW w:w="1559" w:type="dxa"/>
          </w:tcPr>
          <w:p w14:paraId="373FB043" w14:textId="77777777" w:rsidR="0068148D" w:rsidRPr="0021604C" w:rsidRDefault="00900B27" w:rsidP="0068148D">
            <w:pPr>
              <w:pStyle w:val="NoSpacing"/>
              <w:jc w:val="center"/>
            </w:pPr>
            <w:r>
              <w:t>809</w:t>
            </w:r>
          </w:p>
        </w:tc>
        <w:tc>
          <w:tcPr>
            <w:tcW w:w="1559" w:type="dxa"/>
          </w:tcPr>
          <w:p w14:paraId="2159BE4D" w14:textId="77777777" w:rsidR="0068148D" w:rsidRPr="0021604C" w:rsidRDefault="00900B27" w:rsidP="0068148D">
            <w:pPr>
              <w:pStyle w:val="NoSpacing"/>
            </w:pPr>
            <w:r>
              <w:t>0</w:t>
            </w:r>
          </w:p>
        </w:tc>
        <w:tc>
          <w:tcPr>
            <w:tcW w:w="1276" w:type="dxa"/>
          </w:tcPr>
          <w:p w14:paraId="0AE66026" w14:textId="77777777" w:rsidR="0068148D" w:rsidRPr="0021604C" w:rsidRDefault="00900B27" w:rsidP="0068148D">
            <w:pPr>
              <w:pStyle w:val="NoSpacing"/>
            </w:pPr>
            <w:r>
              <w:t>Full Target Achieved</w:t>
            </w:r>
          </w:p>
        </w:tc>
        <w:tc>
          <w:tcPr>
            <w:tcW w:w="2148" w:type="dxa"/>
          </w:tcPr>
          <w:p w14:paraId="430352EB" w14:textId="77777777" w:rsidR="0068148D" w:rsidRPr="0021604C" w:rsidRDefault="00900B27" w:rsidP="0068148D">
            <w:pPr>
              <w:pStyle w:val="NoSpacing"/>
              <w:rPr>
                <w:color w:val="000000"/>
                <w:shd w:val="clear" w:color="auto" w:fill="FFFFFF"/>
              </w:rPr>
            </w:pPr>
            <w:r>
              <w:rPr>
                <w:color w:val="000000"/>
                <w:shd w:val="clear" w:color="auto" w:fill="FFFFFF"/>
              </w:rPr>
              <w:t>100% Resolution Rate</w:t>
            </w:r>
          </w:p>
        </w:tc>
      </w:tr>
      <w:tr w:rsidR="00900B27" w:rsidRPr="00E658B9" w14:paraId="3E07B8D1" w14:textId="77777777" w:rsidTr="00DF371E">
        <w:trPr>
          <w:trHeight w:val="295"/>
        </w:trPr>
        <w:tc>
          <w:tcPr>
            <w:tcW w:w="2280" w:type="dxa"/>
          </w:tcPr>
          <w:p w14:paraId="5C536281" w14:textId="77777777" w:rsidR="00900B27" w:rsidRPr="0021604C" w:rsidRDefault="00900B27" w:rsidP="00900B27">
            <w:pPr>
              <w:pStyle w:val="NoSpacing"/>
            </w:pPr>
            <w:r>
              <w:t xml:space="preserve">1.11. </w:t>
            </w:r>
            <w:r w:rsidRPr="0021604C">
              <w:t>No. of Pantawid Pamilya-related grievances resolved within established time protocol</w:t>
            </w:r>
          </w:p>
        </w:tc>
        <w:tc>
          <w:tcPr>
            <w:tcW w:w="1543" w:type="dxa"/>
          </w:tcPr>
          <w:p w14:paraId="05F6DAFD" w14:textId="77777777" w:rsidR="00900B27" w:rsidRPr="0021604C" w:rsidRDefault="00900B27" w:rsidP="00900B27">
            <w:pPr>
              <w:pStyle w:val="NoSpacing"/>
              <w:jc w:val="center"/>
            </w:pPr>
            <w:r>
              <w:t>ANA</w:t>
            </w:r>
          </w:p>
        </w:tc>
        <w:tc>
          <w:tcPr>
            <w:tcW w:w="1559" w:type="dxa"/>
          </w:tcPr>
          <w:p w14:paraId="6A3BD381" w14:textId="77777777" w:rsidR="00900B27" w:rsidRPr="0021604C" w:rsidRDefault="00900B27" w:rsidP="00900B27">
            <w:pPr>
              <w:pStyle w:val="NoSpacing"/>
              <w:jc w:val="center"/>
            </w:pPr>
            <w:r>
              <w:t>472</w:t>
            </w:r>
          </w:p>
        </w:tc>
        <w:tc>
          <w:tcPr>
            <w:tcW w:w="1559" w:type="dxa"/>
          </w:tcPr>
          <w:p w14:paraId="142DF387" w14:textId="77777777" w:rsidR="00900B27" w:rsidRPr="0021604C" w:rsidRDefault="00900B27" w:rsidP="00900B27">
            <w:pPr>
              <w:pStyle w:val="NoSpacing"/>
            </w:pPr>
            <w:r>
              <w:t>0</w:t>
            </w:r>
          </w:p>
        </w:tc>
        <w:tc>
          <w:tcPr>
            <w:tcW w:w="1276" w:type="dxa"/>
          </w:tcPr>
          <w:p w14:paraId="41E43897" w14:textId="77777777" w:rsidR="00900B27" w:rsidRPr="0021604C" w:rsidRDefault="00900B27" w:rsidP="00900B27">
            <w:pPr>
              <w:pStyle w:val="NoSpacing"/>
            </w:pPr>
            <w:r>
              <w:t>Full Target Achieved</w:t>
            </w:r>
          </w:p>
        </w:tc>
        <w:tc>
          <w:tcPr>
            <w:tcW w:w="2148" w:type="dxa"/>
          </w:tcPr>
          <w:p w14:paraId="6B5BDBAF" w14:textId="77777777" w:rsidR="00900B27" w:rsidRPr="0021604C" w:rsidRDefault="00900B27" w:rsidP="00900B27">
            <w:pPr>
              <w:pStyle w:val="NoSpacing"/>
              <w:rPr>
                <w:color w:val="000000"/>
                <w:shd w:val="clear" w:color="auto" w:fill="FFFFFF"/>
              </w:rPr>
            </w:pPr>
            <w:r>
              <w:rPr>
                <w:color w:val="000000"/>
                <w:shd w:val="clear" w:color="auto" w:fill="FFFFFF"/>
              </w:rPr>
              <w:t>100% Resolution Rate</w:t>
            </w:r>
          </w:p>
        </w:tc>
      </w:tr>
      <w:tr w:rsidR="0068148D" w:rsidRPr="00E658B9" w14:paraId="1C27AE6C" w14:textId="77777777" w:rsidTr="00DF371E">
        <w:trPr>
          <w:trHeight w:val="295"/>
        </w:trPr>
        <w:tc>
          <w:tcPr>
            <w:tcW w:w="2280" w:type="dxa"/>
          </w:tcPr>
          <w:p w14:paraId="494A07A9" w14:textId="77777777" w:rsidR="0068148D" w:rsidRPr="0021604C" w:rsidRDefault="0068148D" w:rsidP="0068148D">
            <w:pPr>
              <w:pStyle w:val="NoSpacing"/>
              <w:jc w:val="both"/>
            </w:pPr>
            <w:r w:rsidRPr="0021604C">
              <w:t>1.12. Percentage of re-assessed self-sufficient (Level 3) households with Transition Plan</w:t>
            </w:r>
          </w:p>
        </w:tc>
        <w:tc>
          <w:tcPr>
            <w:tcW w:w="1543" w:type="dxa"/>
          </w:tcPr>
          <w:p w14:paraId="3814C127" w14:textId="77777777" w:rsidR="0068148D" w:rsidRPr="0021604C" w:rsidRDefault="00900B27" w:rsidP="0068148D">
            <w:pPr>
              <w:pStyle w:val="NoSpacing"/>
              <w:jc w:val="center"/>
            </w:pPr>
            <w:r>
              <w:t>TBD</w:t>
            </w:r>
          </w:p>
        </w:tc>
        <w:tc>
          <w:tcPr>
            <w:tcW w:w="1559" w:type="dxa"/>
          </w:tcPr>
          <w:p w14:paraId="0F42B815" w14:textId="77777777" w:rsidR="0068148D" w:rsidRPr="0021604C" w:rsidRDefault="00900B27" w:rsidP="0068148D">
            <w:pPr>
              <w:pStyle w:val="NoSpacing"/>
              <w:jc w:val="center"/>
            </w:pPr>
            <w:r>
              <w:t>TBD</w:t>
            </w:r>
          </w:p>
        </w:tc>
        <w:tc>
          <w:tcPr>
            <w:tcW w:w="1559" w:type="dxa"/>
          </w:tcPr>
          <w:p w14:paraId="0D9CB8FA" w14:textId="77777777" w:rsidR="0068148D" w:rsidRPr="0021604C" w:rsidRDefault="0068148D" w:rsidP="0068148D">
            <w:pPr>
              <w:pStyle w:val="NoSpacing"/>
              <w:jc w:val="center"/>
            </w:pPr>
          </w:p>
        </w:tc>
        <w:tc>
          <w:tcPr>
            <w:tcW w:w="1276" w:type="dxa"/>
          </w:tcPr>
          <w:p w14:paraId="5070FCE7" w14:textId="77777777" w:rsidR="0068148D" w:rsidRPr="0021604C" w:rsidRDefault="0068148D" w:rsidP="0068148D">
            <w:pPr>
              <w:pStyle w:val="NoSpacing"/>
            </w:pPr>
          </w:p>
        </w:tc>
        <w:tc>
          <w:tcPr>
            <w:tcW w:w="2148" w:type="dxa"/>
          </w:tcPr>
          <w:p w14:paraId="19A2F898" w14:textId="77777777" w:rsidR="0068148D" w:rsidRPr="00900B27" w:rsidRDefault="00900B27" w:rsidP="00984C6B">
            <w:pPr>
              <w:pStyle w:val="NoSpacing"/>
              <w:jc w:val="both"/>
              <w:rPr>
                <w:color w:val="000000"/>
                <w:shd w:val="clear" w:color="auto" w:fill="FFFFFF"/>
              </w:rPr>
            </w:pPr>
            <w:r w:rsidRPr="00900B27">
              <w:rPr>
                <w:color w:val="000000"/>
                <w:shd w:val="clear" w:color="auto" w:fill="FFFFFF"/>
              </w:rPr>
              <w:t xml:space="preserve">NPMO has not cascaded the target yet. However, the program is continuously </w:t>
            </w:r>
            <w:r w:rsidRPr="00900B27">
              <w:rPr>
                <w:color w:val="000000"/>
                <w:shd w:val="clear" w:color="auto" w:fill="FFFFFF"/>
              </w:rPr>
              <w:lastRenderedPageBreak/>
              <w:t>conducting SWDI reassessment for 4Ps households.</w:t>
            </w:r>
          </w:p>
        </w:tc>
      </w:tr>
      <w:tr w:rsidR="0068148D" w:rsidRPr="00E658B9" w14:paraId="3DBA71B4" w14:textId="77777777" w:rsidTr="00DF371E">
        <w:trPr>
          <w:trHeight w:val="295"/>
        </w:trPr>
        <w:tc>
          <w:tcPr>
            <w:tcW w:w="2280" w:type="dxa"/>
          </w:tcPr>
          <w:p w14:paraId="395B187C" w14:textId="77777777" w:rsidR="0068148D" w:rsidRPr="0021604C" w:rsidRDefault="0068148D" w:rsidP="0068148D">
            <w:pPr>
              <w:pStyle w:val="NoSpacing"/>
            </w:pPr>
            <w:r w:rsidRPr="0021604C">
              <w:rPr>
                <w:iCs/>
                <w:color w:val="000000"/>
                <w:shd w:val="clear" w:color="auto" w:fill="FFFFFF"/>
              </w:rPr>
              <w:lastRenderedPageBreak/>
              <w:t>Number of re-assessed self-sufficient (Level 3) households</w:t>
            </w:r>
          </w:p>
        </w:tc>
        <w:tc>
          <w:tcPr>
            <w:tcW w:w="1543" w:type="dxa"/>
          </w:tcPr>
          <w:p w14:paraId="76C7302D" w14:textId="77777777" w:rsidR="0068148D" w:rsidRPr="0021604C" w:rsidRDefault="00962CE3" w:rsidP="0068148D">
            <w:pPr>
              <w:pStyle w:val="NoSpacing"/>
              <w:jc w:val="center"/>
            </w:pPr>
            <w:r>
              <w:t>TBD</w:t>
            </w:r>
          </w:p>
        </w:tc>
        <w:tc>
          <w:tcPr>
            <w:tcW w:w="1559" w:type="dxa"/>
          </w:tcPr>
          <w:p w14:paraId="52901419" w14:textId="77777777" w:rsidR="0068148D" w:rsidRPr="0021604C" w:rsidRDefault="00962CE3" w:rsidP="0068148D">
            <w:pPr>
              <w:pStyle w:val="NoSpacing"/>
              <w:jc w:val="center"/>
            </w:pPr>
            <w:r>
              <w:t>TBD</w:t>
            </w:r>
          </w:p>
        </w:tc>
        <w:tc>
          <w:tcPr>
            <w:tcW w:w="1559" w:type="dxa"/>
          </w:tcPr>
          <w:p w14:paraId="7C5FF6B1" w14:textId="77777777" w:rsidR="0068148D" w:rsidRPr="0021604C" w:rsidRDefault="0068148D" w:rsidP="0068148D">
            <w:pPr>
              <w:pStyle w:val="NoSpacing"/>
            </w:pPr>
          </w:p>
        </w:tc>
        <w:tc>
          <w:tcPr>
            <w:tcW w:w="1276" w:type="dxa"/>
          </w:tcPr>
          <w:p w14:paraId="0887EEEC" w14:textId="77777777" w:rsidR="0068148D" w:rsidRPr="0021604C" w:rsidRDefault="0068148D" w:rsidP="0068148D">
            <w:pPr>
              <w:pStyle w:val="NoSpacing"/>
            </w:pPr>
          </w:p>
        </w:tc>
        <w:tc>
          <w:tcPr>
            <w:tcW w:w="2148" w:type="dxa"/>
          </w:tcPr>
          <w:p w14:paraId="61E588B5" w14:textId="77777777" w:rsidR="0068148D" w:rsidRPr="0021604C" w:rsidRDefault="0068148D" w:rsidP="0068148D">
            <w:pPr>
              <w:pStyle w:val="NoSpacing"/>
              <w:rPr>
                <w:color w:val="000000"/>
                <w:shd w:val="clear" w:color="auto" w:fill="FFFFFF"/>
              </w:rPr>
            </w:pPr>
          </w:p>
        </w:tc>
      </w:tr>
      <w:tr w:rsidR="0068148D" w:rsidRPr="00E658B9" w14:paraId="790F251F" w14:textId="77777777" w:rsidTr="00DF371E">
        <w:trPr>
          <w:trHeight w:val="295"/>
        </w:trPr>
        <w:tc>
          <w:tcPr>
            <w:tcW w:w="2280" w:type="dxa"/>
          </w:tcPr>
          <w:p w14:paraId="34A8DA16" w14:textId="77777777" w:rsidR="0068148D" w:rsidRPr="0021604C" w:rsidRDefault="0068148D" w:rsidP="0068148D">
            <w:pPr>
              <w:shd w:val="clear" w:color="auto" w:fill="FFFFFF"/>
              <w:textAlignment w:val="top"/>
              <w:rPr>
                <w:rFonts w:eastAsia="Times New Roman"/>
                <w:iCs/>
                <w:color w:val="000000"/>
                <w:lang w:val="en-SG"/>
              </w:rPr>
            </w:pPr>
            <w:r w:rsidRPr="0021604C">
              <w:rPr>
                <w:rFonts w:eastAsia="Times New Roman"/>
                <w:iCs/>
                <w:color w:val="000000"/>
                <w:lang w:val="en-SG"/>
              </w:rPr>
              <w:t>Number of re-assessed self-sufficient (Level 3) households with Transition Plan</w:t>
            </w:r>
          </w:p>
        </w:tc>
        <w:tc>
          <w:tcPr>
            <w:tcW w:w="1543" w:type="dxa"/>
          </w:tcPr>
          <w:p w14:paraId="4CC353B6" w14:textId="77777777" w:rsidR="0068148D" w:rsidRPr="0021604C" w:rsidRDefault="00962CE3" w:rsidP="0068148D">
            <w:pPr>
              <w:pStyle w:val="NoSpacing"/>
              <w:jc w:val="center"/>
            </w:pPr>
            <w:r>
              <w:t>TBD</w:t>
            </w:r>
          </w:p>
        </w:tc>
        <w:tc>
          <w:tcPr>
            <w:tcW w:w="1559" w:type="dxa"/>
          </w:tcPr>
          <w:p w14:paraId="7C6F3F29" w14:textId="77777777" w:rsidR="0068148D" w:rsidRPr="0021604C" w:rsidRDefault="00962CE3" w:rsidP="0068148D">
            <w:pPr>
              <w:pStyle w:val="NoSpacing"/>
              <w:jc w:val="center"/>
            </w:pPr>
            <w:r>
              <w:t>TBD</w:t>
            </w:r>
          </w:p>
        </w:tc>
        <w:tc>
          <w:tcPr>
            <w:tcW w:w="1559" w:type="dxa"/>
          </w:tcPr>
          <w:p w14:paraId="52D70420" w14:textId="77777777" w:rsidR="0068148D" w:rsidRPr="0021604C" w:rsidRDefault="0068148D" w:rsidP="0068148D">
            <w:pPr>
              <w:pStyle w:val="NoSpacing"/>
            </w:pPr>
          </w:p>
        </w:tc>
        <w:tc>
          <w:tcPr>
            <w:tcW w:w="1276" w:type="dxa"/>
          </w:tcPr>
          <w:p w14:paraId="1DC61FC3" w14:textId="77777777" w:rsidR="0068148D" w:rsidRPr="0021604C" w:rsidRDefault="0068148D" w:rsidP="0068148D">
            <w:pPr>
              <w:pStyle w:val="NoSpacing"/>
            </w:pPr>
          </w:p>
        </w:tc>
        <w:tc>
          <w:tcPr>
            <w:tcW w:w="2148" w:type="dxa"/>
          </w:tcPr>
          <w:p w14:paraId="54BD310A" w14:textId="77777777" w:rsidR="0068148D" w:rsidRPr="0021604C" w:rsidRDefault="0068148D" w:rsidP="0068148D">
            <w:pPr>
              <w:pStyle w:val="NoSpacing"/>
              <w:rPr>
                <w:color w:val="000000"/>
                <w:shd w:val="clear" w:color="auto" w:fill="FFFFFF"/>
              </w:rPr>
            </w:pPr>
          </w:p>
        </w:tc>
      </w:tr>
      <w:tr w:rsidR="0068148D" w:rsidRPr="00E658B9" w14:paraId="6274A4D8" w14:textId="77777777" w:rsidTr="0068148D">
        <w:trPr>
          <w:trHeight w:val="295"/>
        </w:trPr>
        <w:tc>
          <w:tcPr>
            <w:tcW w:w="10365" w:type="dxa"/>
            <w:gridSpan w:val="6"/>
            <w:shd w:val="clear" w:color="auto" w:fill="DEEAF6" w:themeFill="accent1" w:themeFillTint="33"/>
          </w:tcPr>
          <w:p w14:paraId="551003F5" w14:textId="77777777" w:rsidR="0068148D" w:rsidRPr="0021604C" w:rsidRDefault="0068148D" w:rsidP="0068148D">
            <w:pPr>
              <w:pStyle w:val="NoSpacing"/>
              <w:rPr>
                <w:b/>
                <w:color w:val="000000"/>
                <w:shd w:val="clear" w:color="auto" w:fill="FFFFFF"/>
              </w:rPr>
            </w:pPr>
            <w:r w:rsidRPr="0021604C">
              <w:rPr>
                <w:b/>
                <w:color w:val="000000"/>
                <w:shd w:val="clear" w:color="auto" w:fill="FFFFFF"/>
              </w:rPr>
              <w:t>Sustainable Livelihood Program</w:t>
            </w:r>
          </w:p>
        </w:tc>
      </w:tr>
      <w:tr w:rsidR="0068148D" w:rsidRPr="00E658B9" w14:paraId="36DA9534" w14:textId="77777777" w:rsidTr="00DF371E">
        <w:trPr>
          <w:trHeight w:val="295"/>
        </w:trPr>
        <w:tc>
          <w:tcPr>
            <w:tcW w:w="2280" w:type="dxa"/>
          </w:tcPr>
          <w:p w14:paraId="2FE4E051" w14:textId="77777777" w:rsidR="0068148D" w:rsidRPr="0021604C" w:rsidRDefault="0068148D" w:rsidP="0068148D">
            <w:pPr>
              <w:shd w:val="clear" w:color="auto" w:fill="FFFFFF"/>
              <w:textAlignment w:val="top"/>
              <w:rPr>
                <w:rFonts w:eastAsia="Times New Roman"/>
                <w:iCs/>
                <w:color w:val="000000"/>
                <w:lang w:val="en-SG"/>
              </w:rPr>
            </w:pPr>
            <w:r w:rsidRPr="0021604C">
              <w:rPr>
                <w:rFonts w:eastAsia="Times New Roman"/>
                <w:iCs/>
                <w:color w:val="000000"/>
                <w:lang w:val="en-SG"/>
              </w:rPr>
              <w:t xml:space="preserve">1.13. </w:t>
            </w:r>
            <w:r w:rsidRPr="0021604C">
              <w:rPr>
                <w:color w:val="000000"/>
                <w:shd w:val="clear" w:color="auto" w:fill="FFFFFF"/>
              </w:rPr>
              <w:t>No. of participants assisted to sustainable livelihood program</w:t>
            </w:r>
          </w:p>
        </w:tc>
        <w:tc>
          <w:tcPr>
            <w:tcW w:w="1543" w:type="dxa"/>
          </w:tcPr>
          <w:p w14:paraId="7A7E41D6" w14:textId="77777777" w:rsidR="0068148D" w:rsidRPr="0021604C" w:rsidRDefault="00962CE3" w:rsidP="0068148D">
            <w:pPr>
              <w:pStyle w:val="NoSpacing"/>
              <w:jc w:val="center"/>
            </w:pPr>
            <w:r>
              <w:t>8,722</w:t>
            </w:r>
          </w:p>
        </w:tc>
        <w:tc>
          <w:tcPr>
            <w:tcW w:w="1559" w:type="dxa"/>
          </w:tcPr>
          <w:p w14:paraId="58B0BAB5" w14:textId="77777777" w:rsidR="0068148D" w:rsidRPr="0021604C" w:rsidRDefault="00962CE3" w:rsidP="0068148D">
            <w:pPr>
              <w:pStyle w:val="NoSpacing"/>
              <w:jc w:val="center"/>
            </w:pPr>
            <w:r>
              <w:t>N/A</w:t>
            </w:r>
          </w:p>
        </w:tc>
        <w:tc>
          <w:tcPr>
            <w:tcW w:w="1559" w:type="dxa"/>
          </w:tcPr>
          <w:p w14:paraId="0EF79749" w14:textId="77777777" w:rsidR="0068148D" w:rsidRPr="0021604C" w:rsidRDefault="0068148D" w:rsidP="0068148D">
            <w:pPr>
              <w:pStyle w:val="NoSpacing"/>
            </w:pPr>
          </w:p>
        </w:tc>
        <w:tc>
          <w:tcPr>
            <w:tcW w:w="1276" w:type="dxa"/>
          </w:tcPr>
          <w:p w14:paraId="4B7383B7" w14:textId="77777777" w:rsidR="0068148D" w:rsidRPr="0021604C" w:rsidRDefault="0068148D" w:rsidP="0068148D">
            <w:pPr>
              <w:pStyle w:val="NoSpacing"/>
              <w:rPr>
                <w:color w:val="000000"/>
                <w:shd w:val="clear" w:color="auto" w:fill="FFFFFF"/>
              </w:rPr>
            </w:pPr>
          </w:p>
        </w:tc>
        <w:tc>
          <w:tcPr>
            <w:tcW w:w="2148" w:type="dxa"/>
          </w:tcPr>
          <w:p w14:paraId="2990E62A" w14:textId="77777777" w:rsidR="0068148D" w:rsidRPr="0021604C" w:rsidRDefault="0068148D" w:rsidP="0068148D">
            <w:pPr>
              <w:pStyle w:val="NoSpacing"/>
              <w:rPr>
                <w:color w:val="000000"/>
                <w:shd w:val="clear" w:color="auto" w:fill="FFFFFF"/>
              </w:rPr>
            </w:pPr>
          </w:p>
        </w:tc>
      </w:tr>
      <w:tr w:rsidR="00962CE3" w:rsidRPr="00E658B9" w14:paraId="7478BFE0" w14:textId="77777777" w:rsidTr="00DF371E">
        <w:trPr>
          <w:trHeight w:val="295"/>
        </w:trPr>
        <w:tc>
          <w:tcPr>
            <w:tcW w:w="2280" w:type="dxa"/>
          </w:tcPr>
          <w:p w14:paraId="7A9AAB5A" w14:textId="77777777" w:rsidR="00962CE3" w:rsidRPr="0021604C" w:rsidRDefault="00962CE3" w:rsidP="00962CE3">
            <w:pPr>
              <w:shd w:val="clear" w:color="auto" w:fill="FFFFFF"/>
              <w:textAlignment w:val="top"/>
              <w:rPr>
                <w:rFonts w:eastAsia="Times New Roman"/>
                <w:iCs/>
                <w:color w:val="000000"/>
                <w:lang w:val="en-SG"/>
              </w:rPr>
            </w:pPr>
            <w:r w:rsidRPr="0021604C">
              <w:rPr>
                <w:color w:val="000000"/>
                <w:shd w:val="clear" w:color="auto" w:fill="FFFFFF"/>
              </w:rPr>
              <w:t xml:space="preserve">a. Total number of households who received seed capital fund and </w:t>
            </w:r>
            <w:r>
              <w:rPr>
                <w:color w:val="000000"/>
                <w:shd w:val="clear" w:color="auto" w:fill="FFFFFF"/>
              </w:rPr>
              <w:t xml:space="preserve">the </w:t>
            </w:r>
            <w:r w:rsidRPr="0021604C">
              <w:rPr>
                <w:color w:val="000000"/>
                <w:shd w:val="clear" w:color="auto" w:fill="FFFFFF"/>
              </w:rPr>
              <w:t>total number of households trained</w:t>
            </w:r>
          </w:p>
        </w:tc>
        <w:tc>
          <w:tcPr>
            <w:tcW w:w="1543" w:type="dxa"/>
          </w:tcPr>
          <w:p w14:paraId="1AAC9621" w14:textId="77777777" w:rsidR="00962CE3" w:rsidRPr="0021604C" w:rsidRDefault="00962CE3" w:rsidP="00962CE3">
            <w:pPr>
              <w:pStyle w:val="NoSpacing"/>
              <w:jc w:val="center"/>
            </w:pPr>
            <w:r>
              <w:t>N/A</w:t>
            </w:r>
          </w:p>
        </w:tc>
        <w:tc>
          <w:tcPr>
            <w:tcW w:w="1559" w:type="dxa"/>
          </w:tcPr>
          <w:p w14:paraId="6A084255" w14:textId="77777777" w:rsidR="00962CE3" w:rsidRPr="0021604C" w:rsidRDefault="00962CE3" w:rsidP="00962CE3">
            <w:pPr>
              <w:pStyle w:val="NoSpacing"/>
              <w:jc w:val="center"/>
            </w:pPr>
            <w:r>
              <w:t>N/A</w:t>
            </w:r>
          </w:p>
        </w:tc>
        <w:tc>
          <w:tcPr>
            <w:tcW w:w="1559" w:type="dxa"/>
          </w:tcPr>
          <w:p w14:paraId="59E5A89E" w14:textId="77777777" w:rsidR="00962CE3" w:rsidRPr="0021604C" w:rsidRDefault="00962CE3" w:rsidP="00962CE3">
            <w:pPr>
              <w:pStyle w:val="NoSpacing"/>
            </w:pPr>
          </w:p>
        </w:tc>
        <w:tc>
          <w:tcPr>
            <w:tcW w:w="1276" w:type="dxa"/>
          </w:tcPr>
          <w:p w14:paraId="5A82AB42" w14:textId="77777777" w:rsidR="00962CE3" w:rsidRPr="0021604C" w:rsidRDefault="00962CE3" w:rsidP="00962CE3">
            <w:pPr>
              <w:pStyle w:val="NoSpacing"/>
              <w:rPr>
                <w:color w:val="000000"/>
                <w:shd w:val="clear" w:color="auto" w:fill="FFFFFF"/>
              </w:rPr>
            </w:pPr>
          </w:p>
        </w:tc>
        <w:tc>
          <w:tcPr>
            <w:tcW w:w="2148" w:type="dxa"/>
          </w:tcPr>
          <w:p w14:paraId="61F0F876" w14:textId="77777777" w:rsidR="00962CE3" w:rsidRPr="0021604C" w:rsidRDefault="00962CE3" w:rsidP="00962CE3">
            <w:pPr>
              <w:pStyle w:val="NoSpacing"/>
              <w:rPr>
                <w:color w:val="000000"/>
                <w:shd w:val="clear" w:color="auto" w:fill="FFFFFF"/>
              </w:rPr>
            </w:pPr>
          </w:p>
        </w:tc>
      </w:tr>
      <w:tr w:rsidR="00962CE3" w:rsidRPr="00E658B9" w14:paraId="09CB5D7D" w14:textId="77777777" w:rsidTr="00DF371E">
        <w:trPr>
          <w:trHeight w:val="295"/>
        </w:trPr>
        <w:tc>
          <w:tcPr>
            <w:tcW w:w="2280" w:type="dxa"/>
          </w:tcPr>
          <w:p w14:paraId="5765DBA0" w14:textId="77777777" w:rsidR="00962CE3" w:rsidRPr="0021604C" w:rsidRDefault="00962CE3" w:rsidP="00962CE3">
            <w:pPr>
              <w:shd w:val="clear" w:color="auto" w:fill="FFFFFF"/>
              <w:textAlignment w:val="top"/>
              <w:rPr>
                <w:color w:val="000000"/>
                <w:shd w:val="clear" w:color="auto" w:fill="FFFFFF"/>
              </w:rPr>
            </w:pPr>
            <w:r w:rsidRPr="0021604C">
              <w:rPr>
                <w:color w:val="000000"/>
                <w:shd w:val="clear" w:color="auto" w:fill="FFFFFF"/>
              </w:rPr>
              <w:t>b. Total Number of SLP households who received employment Assistance Fund modality</w:t>
            </w:r>
          </w:p>
        </w:tc>
        <w:tc>
          <w:tcPr>
            <w:tcW w:w="1543" w:type="dxa"/>
          </w:tcPr>
          <w:p w14:paraId="79A76EA6" w14:textId="77777777" w:rsidR="00962CE3" w:rsidRPr="0021604C" w:rsidRDefault="00962CE3" w:rsidP="00962CE3">
            <w:pPr>
              <w:pStyle w:val="NoSpacing"/>
              <w:jc w:val="center"/>
            </w:pPr>
            <w:r>
              <w:t>N/A</w:t>
            </w:r>
          </w:p>
        </w:tc>
        <w:tc>
          <w:tcPr>
            <w:tcW w:w="1559" w:type="dxa"/>
          </w:tcPr>
          <w:p w14:paraId="274CDB3B" w14:textId="77777777" w:rsidR="00962CE3" w:rsidRPr="0021604C" w:rsidRDefault="00962CE3" w:rsidP="00962CE3">
            <w:pPr>
              <w:pStyle w:val="NoSpacing"/>
              <w:jc w:val="center"/>
            </w:pPr>
            <w:r>
              <w:t>N/A</w:t>
            </w:r>
          </w:p>
        </w:tc>
        <w:tc>
          <w:tcPr>
            <w:tcW w:w="1559" w:type="dxa"/>
          </w:tcPr>
          <w:p w14:paraId="4A8322E7" w14:textId="77777777" w:rsidR="00962CE3" w:rsidRPr="0021604C" w:rsidRDefault="00962CE3" w:rsidP="00962CE3">
            <w:pPr>
              <w:pStyle w:val="NoSpacing"/>
            </w:pPr>
          </w:p>
        </w:tc>
        <w:tc>
          <w:tcPr>
            <w:tcW w:w="1276" w:type="dxa"/>
          </w:tcPr>
          <w:p w14:paraId="23DEC1CD" w14:textId="77777777" w:rsidR="00962CE3" w:rsidRPr="0021604C" w:rsidRDefault="00962CE3" w:rsidP="00962CE3">
            <w:pPr>
              <w:pStyle w:val="NoSpacing"/>
              <w:rPr>
                <w:color w:val="000000"/>
                <w:shd w:val="clear" w:color="auto" w:fill="FFFFFF"/>
              </w:rPr>
            </w:pPr>
          </w:p>
        </w:tc>
        <w:tc>
          <w:tcPr>
            <w:tcW w:w="2148" w:type="dxa"/>
          </w:tcPr>
          <w:p w14:paraId="33BD8CB2" w14:textId="77777777" w:rsidR="00962CE3" w:rsidRPr="0021604C" w:rsidRDefault="00962CE3" w:rsidP="00962CE3">
            <w:pPr>
              <w:pStyle w:val="NoSpacing"/>
              <w:rPr>
                <w:color w:val="000000"/>
                <w:shd w:val="clear" w:color="auto" w:fill="FFFFFF"/>
              </w:rPr>
            </w:pPr>
          </w:p>
        </w:tc>
      </w:tr>
      <w:tr w:rsidR="0068148D" w:rsidRPr="00E658B9" w14:paraId="61BC8ABD" w14:textId="77777777" w:rsidTr="00DF371E">
        <w:trPr>
          <w:trHeight w:val="295"/>
        </w:trPr>
        <w:tc>
          <w:tcPr>
            <w:tcW w:w="2280" w:type="dxa"/>
          </w:tcPr>
          <w:p w14:paraId="59CE2933" w14:textId="77777777" w:rsidR="0068148D" w:rsidRPr="0021604C" w:rsidRDefault="0068148D" w:rsidP="0068148D">
            <w:pPr>
              <w:shd w:val="clear" w:color="auto" w:fill="FFFFFF"/>
              <w:textAlignment w:val="top"/>
              <w:rPr>
                <w:color w:val="000000"/>
                <w:shd w:val="clear" w:color="auto" w:fill="FFFFFF"/>
              </w:rPr>
            </w:pPr>
            <w:r w:rsidRPr="0021604C">
              <w:rPr>
                <w:color w:val="000000"/>
                <w:shd w:val="clear" w:color="auto" w:fill="FFFFFF"/>
              </w:rPr>
              <w:t>c. Total number of participants provided with livelihood assistance</w:t>
            </w:r>
            <w:r w:rsidR="00962CE3">
              <w:rPr>
                <w:color w:val="000000"/>
                <w:shd w:val="clear" w:color="auto" w:fill="FFFFFF"/>
              </w:rPr>
              <w:t xml:space="preserve"> grants (EO70, SLP Regular, Zero Hunger, OP Referrals)</w:t>
            </w:r>
          </w:p>
        </w:tc>
        <w:tc>
          <w:tcPr>
            <w:tcW w:w="1543" w:type="dxa"/>
          </w:tcPr>
          <w:p w14:paraId="550F6A7C" w14:textId="77777777" w:rsidR="0068148D" w:rsidRPr="0021604C" w:rsidRDefault="00962CE3" w:rsidP="0068148D">
            <w:pPr>
              <w:pStyle w:val="NoSpacing"/>
              <w:jc w:val="center"/>
            </w:pPr>
            <w:r>
              <w:t>8,722</w:t>
            </w:r>
          </w:p>
        </w:tc>
        <w:tc>
          <w:tcPr>
            <w:tcW w:w="1559" w:type="dxa"/>
          </w:tcPr>
          <w:p w14:paraId="4B74F289" w14:textId="77777777" w:rsidR="0068148D" w:rsidRPr="0021604C" w:rsidRDefault="00962CE3" w:rsidP="0068148D">
            <w:pPr>
              <w:pStyle w:val="NoSpacing"/>
              <w:jc w:val="center"/>
            </w:pPr>
            <w:r>
              <w:t>944</w:t>
            </w:r>
          </w:p>
        </w:tc>
        <w:tc>
          <w:tcPr>
            <w:tcW w:w="1559" w:type="dxa"/>
          </w:tcPr>
          <w:p w14:paraId="6089434A" w14:textId="77777777" w:rsidR="0068148D" w:rsidRPr="0021604C" w:rsidRDefault="00962CE3" w:rsidP="0068148D">
            <w:pPr>
              <w:pStyle w:val="NoSpacing"/>
            </w:pPr>
            <w:r>
              <w:t>7,778</w:t>
            </w:r>
          </w:p>
        </w:tc>
        <w:tc>
          <w:tcPr>
            <w:tcW w:w="1276" w:type="dxa"/>
          </w:tcPr>
          <w:p w14:paraId="0CE75FB4" w14:textId="77777777" w:rsidR="0068148D" w:rsidRPr="0021604C" w:rsidRDefault="00962CE3" w:rsidP="0068148D">
            <w:pPr>
              <w:pStyle w:val="NoSpacing"/>
              <w:rPr>
                <w:color w:val="000000"/>
                <w:shd w:val="clear" w:color="auto" w:fill="FFFFFF"/>
              </w:rPr>
            </w:pPr>
            <w:r>
              <w:rPr>
                <w:color w:val="000000"/>
                <w:shd w:val="clear" w:color="auto" w:fill="FFFFFF"/>
              </w:rPr>
              <w:t>Major Deviation</w:t>
            </w:r>
          </w:p>
        </w:tc>
        <w:tc>
          <w:tcPr>
            <w:tcW w:w="2148" w:type="dxa"/>
          </w:tcPr>
          <w:p w14:paraId="234F2C7F" w14:textId="77777777" w:rsidR="00A56D9F" w:rsidRPr="00A56D9F" w:rsidRDefault="000A0811" w:rsidP="00A56D9F">
            <w:pPr>
              <w:pStyle w:val="NoSpacing"/>
              <w:rPr>
                <w:color w:val="000000"/>
                <w:shd w:val="clear" w:color="auto" w:fill="FFFFFF"/>
              </w:rPr>
            </w:pPr>
            <w:r>
              <w:rPr>
                <w:color w:val="000000"/>
                <w:shd w:val="clear" w:color="auto" w:fill="FFFFFF"/>
              </w:rPr>
              <w:t>Th</w:t>
            </w:r>
            <w:r w:rsidR="00A56D9F" w:rsidRPr="00A56D9F">
              <w:rPr>
                <w:color w:val="000000"/>
                <w:shd w:val="clear" w:color="auto" w:fill="FFFFFF"/>
              </w:rPr>
              <w:t xml:space="preserve">e reported accomplishments are those beneficiaries who are served under the SLP - Regular/LAG Portfolio. </w:t>
            </w:r>
          </w:p>
          <w:p w14:paraId="2F6ACF24" w14:textId="77777777" w:rsidR="00A56D9F" w:rsidRPr="00A56D9F" w:rsidRDefault="00A56D9F" w:rsidP="00A56D9F">
            <w:pPr>
              <w:pStyle w:val="NoSpacing"/>
              <w:rPr>
                <w:color w:val="000000"/>
                <w:shd w:val="clear" w:color="auto" w:fill="FFFFFF"/>
              </w:rPr>
            </w:pPr>
          </w:p>
          <w:p w14:paraId="2F996B1A" w14:textId="77777777" w:rsidR="00A56D9F" w:rsidRPr="00A56D9F" w:rsidRDefault="00A56D9F" w:rsidP="00A56D9F">
            <w:pPr>
              <w:pStyle w:val="NoSpacing"/>
              <w:rPr>
                <w:color w:val="000000"/>
                <w:shd w:val="clear" w:color="auto" w:fill="FFFFFF"/>
              </w:rPr>
            </w:pPr>
            <w:r w:rsidRPr="00A56D9F">
              <w:rPr>
                <w:color w:val="000000"/>
                <w:shd w:val="clear" w:color="auto" w:fill="FFFFFF"/>
              </w:rPr>
              <w:t xml:space="preserve">&gt;The variances are those targets under EO 70, Zero Hunger and OP Referrals which are still on the process of social preparation and resource mobilization. </w:t>
            </w:r>
          </w:p>
          <w:p w14:paraId="2BAE81D0" w14:textId="77777777" w:rsidR="00A56D9F" w:rsidRPr="00A56D9F" w:rsidRDefault="00A56D9F" w:rsidP="00A56D9F">
            <w:pPr>
              <w:pStyle w:val="NoSpacing"/>
              <w:rPr>
                <w:color w:val="000000"/>
                <w:shd w:val="clear" w:color="auto" w:fill="FFFFFF"/>
              </w:rPr>
            </w:pPr>
          </w:p>
          <w:p w14:paraId="60B6D955" w14:textId="77777777" w:rsidR="0068148D" w:rsidRPr="0021604C" w:rsidRDefault="00A56D9F" w:rsidP="00A56D9F">
            <w:pPr>
              <w:pStyle w:val="NoSpacing"/>
              <w:rPr>
                <w:color w:val="000000"/>
                <w:shd w:val="clear" w:color="auto" w:fill="FFFFFF"/>
              </w:rPr>
            </w:pPr>
            <w:r w:rsidRPr="00A56D9F">
              <w:rPr>
                <w:color w:val="000000"/>
                <w:shd w:val="clear" w:color="auto" w:fill="FFFFFF"/>
              </w:rPr>
              <w:t xml:space="preserve">&gt;Targets are adjusted from 1,665 to 8,722 as the request of the SLP-NPMO to </w:t>
            </w:r>
            <w:r w:rsidRPr="00A56D9F">
              <w:rPr>
                <w:color w:val="000000"/>
                <w:shd w:val="clear" w:color="auto" w:fill="FFFFFF"/>
              </w:rPr>
              <w:lastRenderedPageBreak/>
              <w:t>withdraw the OP Referral Funds with 7,057 targets was disapproved, hence, this was added to the 1,665 prior reported targets.</w:t>
            </w:r>
          </w:p>
        </w:tc>
      </w:tr>
      <w:tr w:rsidR="0068148D" w:rsidRPr="00E658B9" w14:paraId="41951212" w14:textId="77777777" w:rsidTr="00DF371E">
        <w:trPr>
          <w:trHeight w:val="295"/>
        </w:trPr>
        <w:tc>
          <w:tcPr>
            <w:tcW w:w="2280" w:type="dxa"/>
          </w:tcPr>
          <w:p w14:paraId="19234DFA" w14:textId="77777777" w:rsidR="0068148D" w:rsidRPr="0021604C" w:rsidRDefault="0068148D" w:rsidP="0068148D">
            <w:pPr>
              <w:shd w:val="clear" w:color="auto" w:fill="FFFFFF"/>
              <w:textAlignment w:val="top"/>
              <w:rPr>
                <w:color w:val="000000"/>
                <w:szCs w:val="20"/>
                <w:shd w:val="clear" w:color="auto" w:fill="FFFFFF"/>
              </w:rPr>
            </w:pPr>
            <w:r w:rsidRPr="0021604C">
              <w:rPr>
                <w:color w:val="000000"/>
                <w:szCs w:val="20"/>
                <w:shd w:val="clear" w:color="auto" w:fill="FFFFFF"/>
              </w:rPr>
              <w:lastRenderedPageBreak/>
              <w:t>d. Number of participants who received complementary livelihood recovery services from partners</w:t>
            </w:r>
          </w:p>
        </w:tc>
        <w:tc>
          <w:tcPr>
            <w:tcW w:w="1543" w:type="dxa"/>
          </w:tcPr>
          <w:p w14:paraId="7A733713" w14:textId="77777777" w:rsidR="0068148D" w:rsidRDefault="00A56D9F" w:rsidP="0068148D">
            <w:pPr>
              <w:pStyle w:val="NoSpacing"/>
              <w:jc w:val="center"/>
            </w:pPr>
            <w:r>
              <w:t>N/A</w:t>
            </w:r>
          </w:p>
        </w:tc>
        <w:tc>
          <w:tcPr>
            <w:tcW w:w="1559" w:type="dxa"/>
          </w:tcPr>
          <w:p w14:paraId="3114CA24" w14:textId="77777777" w:rsidR="0068148D" w:rsidRDefault="00A56D9F" w:rsidP="0068148D">
            <w:pPr>
              <w:pStyle w:val="NoSpacing"/>
              <w:jc w:val="center"/>
            </w:pPr>
            <w:r>
              <w:t>N/A</w:t>
            </w:r>
          </w:p>
        </w:tc>
        <w:tc>
          <w:tcPr>
            <w:tcW w:w="1559" w:type="dxa"/>
          </w:tcPr>
          <w:p w14:paraId="059B92D6" w14:textId="77777777" w:rsidR="0068148D" w:rsidRDefault="0068148D" w:rsidP="0068148D">
            <w:pPr>
              <w:pStyle w:val="NoSpacing"/>
              <w:jc w:val="center"/>
            </w:pPr>
          </w:p>
        </w:tc>
        <w:tc>
          <w:tcPr>
            <w:tcW w:w="1276" w:type="dxa"/>
          </w:tcPr>
          <w:p w14:paraId="3C5CC15B" w14:textId="77777777" w:rsidR="0068148D" w:rsidRDefault="0068148D" w:rsidP="0068148D">
            <w:pPr>
              <w:pStyle w:val="NoSpacing"/>
              <w:jc w:val="center"/>
            </w:pPr>
          </w:p>
        </w:tc>
        <w:tc>
          <w:tcPr>
            <w:tcW w:w="2148" w:type="dxa"/>
          </w:tcPr>
          <w:p w14:paraId="4D72A0F1" w14:textId="77777777" w:rsidR="0068148D" w:rsidRPr="00EF5F84" w:rsidRDefault="00A56D9F" w:rsidP="0068148D">
            <w:pPr>
              <w:pStyle w:val="NoSpacing"/>
              <w:rPr>
                <w:color w:val="000000"/>
                <w:sz w:val="20"/>
                <w:szCs w:val="20"/>
                <w:shd w:val="clear" w:color="auto" w:fill="FFFFFF"/>
              </w:rPr>
            </w:pPr>
            <w:r>
              <w:rPr>
                <w:sz w:val="20"/>
                <w:szCs w:val="20"/>
              </w:rPr>
              <w:t>No target for this indicator</w:t>
            </w:r>
          </w:p>
        </w:tc>
      </w:tr>
      <w:tr w:rsidR="00A56D9F" w:rsidRPr="00E658B9" w14:paraId="2209FF12" w14:textId="77777777" w:rsidTr="00DF371E">
        <w:trPr>
          <w:trHeight w:val="295"/>
        </w:trPr>
        <w:tc>
          <w:tcPr>
            <w:tcW w:w="2280" w:type="dxa"/>
          </w:tcPr>
          <w:p w14:paraId="0EE3122F" w14:textId="77777777" w:rsidR="00A56D9F" w:rsidRPr="0021604C" w:rsidRDefault="00A56D9F" w:rsidP="00A56D9F">
            <w:pPr>
              <w:shd w:val="clear" w:color="auto" w:fill="FFFFFF"/>
              <w:textAlignment w:val="top"/>
              <w:rPr>
                <w:color w:val="000000"/>
                <w:szCs w:val="20"/>
                <w:shd w:val="clear" w:color="auto" w:fill="FFFFFF"/>
              </w:rPr>
            </w:pPr>
            <w:r w:rsidRPr="0021604C">
              <w:rPr>
                <w:color w:val="000000"/>
                <w:szCs w:val="20"/>
                <w:shd w:val="clear" w:color="auto" w:fill="FFFFFF"/>
              </w:rPr>
              <w:t>1.14. Number of SLP projects with livelihood assets built, rehabilitated</w:t>
            </w:r>
            <w:r>
              <w:rPr>
                <w:color w:val="000000"/>
                <w:szCs w:val="20"/>
                <w:shd w:val="clear" w:color="auto" w:fill="FFFFFF"/>
              </w:rPr>
              <w:t>,</w:t>
            </w:r>
            <w:r w:rsidRPr="0021604C">
              <w:rPr>
                <w:color w:val="000000"/>
                <w:szCs w:val="20"/>
                <w:shd w:val="clear" w:color="auto" w:fill="FFFFFF"/>
              </w:rPr>
              <w:t xml:space="preserve"> and/or protected</w:t>
            </w:r>
          </w:p>
        </w:tc>
        <w:tc>
          <w:tcPr>
            <w:tcW w:w="1543" w:type="dxa"/>
          </w:tcPr>
          <w:p w14:paraId="383D6027" w14:textId="77777777" w:rsidR="00A56D9F" w:rsidRDefault="00A56D9F" w:rsidP="00A56D9F">
            <w:pPr>
              <w:pStyle w:val="NoSpacing"/>
              <w:jc w:val="center"/>
            </w:pPr>
            <w:r>
              <w:t>N/A</w:t>
            </w:r>
          </w:p>
        </w:tc>
        <w:tc>
          <w:tcPr>
            <w:tcW w:w="1559" w:type="dxa"/>
          </w:tcPr>
          <w:p w14:paraId="259E9229" w14:textId="77777777" w:rsidR="00A56D9F" w:rsidRDefault="00A56D9F" w:rsidP="00A56D9F">
            <w:pPr>
              <w:pStyle w:val="NoSpacing"/>
              <w:jc w:val="center"/>
            </w:pPr>
            <w:r>
              <w:t>N/A</w:t>
            </w:r>
          </w:p>
        </w:tc>
        <w:tc>
          <w:tcPr>
            <w:tcW w:w="1559" w:type="dxa"/>
          </w:tcPr>
          <w:p w14:paraId="4F59E824" w14:textId="77777777" w:rsidR="00A56D9F" w:rsidRDefault="00A56D9F" w:rsidP="00A56D9F">
            <w:pPr>
              <w:pStyle w:val="NoSpacing"/>
              <w:jc w:val="center"/>
            </w:pPr>
          </w:p>
        </w:tc>
        <w:tc>
          <w:tcPr>
            <w:tcW w:w="1276" w:type="dxa"/>
          </w:tcPr>
          <w:p w14:paraId="472B7E3A" w14:textId="77777777" w:rsidR="00A56D9F" w:rsidRDefault="00A56D9F" w:rsidP="00A56D9F">
            <w:pPr>
              <w:pStyle w:val="NoSpacing"/>
              <w:jc w:val="center"/>
            </w:pPr>
          </w:p>
        </w:tc>
        <w:tc>
          <w:tcPr>
            <w:tcW w:w="2148" w:type="dxa"/>
          </w:tcPr>
          <w:p w14:paraId="6A96460B" w14:textId="77777777" w:rsidR="00A56D9F" w:rsidRPr="00EF5F84" w:rsidRDefault="00A56D9F" w:rsidP="00A56D9F">
            <w:pPr>
              <w:pStyle w:val="NoSpacing"/>
              <w:rPr>
                <w:color w:val="000000"/>
                <w:sz w:val="20"/>
                <w:szCs w:val="20"/>
                <w:shd w:val="clear" w:color="auto" w:fill="FFFFFF"/>
              </w:rPr>
            </w:pPr>
            <w:r>
              <w:rPr>
                <w:sz w:val="20"/>
                <w:szCs w:val="20"/>
              </w:rPr>
              <w:t>No target for this indicator</w:t>
            </w:r>
          </w:p>
        </w:tc>
      </w:tr>
      <w:tr w:rsidR="0068148D" w:rsidRPr="00E658B9" w14:paraId="18246AC1" w14:textId="77777777" w:rsidTr="0068148D">
        <w:trPr>
          <w:trHeight w:val="295"/>
        </w:trPr>
        <w:tc>
          <w:tcPr>
            <w:tcW w:w="10365" w:type="dxa"/>
            <w:gridSpan w:val="6"/>
            <w:shd w:val="clear" w:color="auto" w:fill="DEEAF6" w:themeFill="accent1" w:themeFillTint="33"/>
          </w:tcPr>
          <w:p w14:paraId="748B1EAB" w14:textId="77777777" w:rsidR="0068148D" w:rsidRPr="0021604C" w:rsidRDefault="0068148D" w:rsidP="0068148D">
            <w:pPr>
              <w:pStyle w:val="NoSpacing"/>
              <w:rPr>
                <w:b/>
                <w:color w:val="000000"/>
                <w:szCs w:val="20"/>
                <w:shd w:val="clear" w:color="auto" w:fill="FFFFFF"/>
              </w:rPr>
            </w:pPr>
            <w:r w:rsidRPr="0021604C">
              <w:rPr>
                <w:b/>
                <w:color w:val="000000"/>
                <w:szCs w:val="20"/>
                <w:shd w:val="clear" w:color="auto" w:fill="FFFFFF"/>
              </w:rPr>
              <w:t>KALAHI CID</w:t>
            </w:r>
            <w:r>
              <w:rPr>
                <w:b/>
                <w:color w:val="000000"/>
                <w:szCs w:val="20"/>
                <w:shd w:val="clear" w:color="auto" w:fill="FFFFFF"/>
              </w:rPr>
              <w:t>D</w:t>
            </w:r>
            <w:r w:rsidRPr="0021604C">
              <w:rPr>
                <w:b/>
                <w:color w:val="000000"/>
                <w:szCs w:val="20"/>
                <w:shd w:val="clear" w:color="auto" w:fill="FFFFFF"/>
              </w:rPr>
              <w:t>S</w:t>
            </w:r>
          </w:p>
        </w:tc>
      </w:tr>
      <w:tr w:rsidR="0068148D" w:rsidRPr="00E658B9" w14:paraId="236EFBAB" w14:textId="77777777" w:rsidTr="00DF371E">
        <w:trPr>
          <w:trHeight w:val="295"/>
        </w:trPr>
        <w:tc>
          <w:tcPr>
            <w:tcW w:w="2280" w:type="dxa"/>
          </w:tcPr>
          <w:p w14:paraId="48201F7E" w14:textId="77777777" w:rsidR="0068148D" w:rsidRPr="0021604C" w:rsidRDefault="0068148D" w:rsidP="0068148D">
            <w:pPr>
              <w:shd w:val="clear" w:color="auto" w:fill="FFFFFF"/>
              <w:textAlignment w:val="top"/>
              <w:rPr>
                <w:color w:val="000000"/>
                <w:szCs w:val="20"/>
                <w:shd w:val="clear" w:color="auto" w:fill="FFFFFF"/>
              </w:rPr>
            </w:pPr>
            <w:r w:rsidRPr="0021604C">
              <w:rPr>
                <w:color w:val="000000"/>
                <w:szCs w:val="20"/>
                <w:shd w:val="clear" w:color="auto" w:fill="FFFFFF"/>
              </w:rPr>
              <w:t>1.15. Number of communities implementing KC-NCDDP</w:t>
            </w:r>
          </w:p>
        </w:tc>
        <w:tc>
          <w:tcPr>
            <w:tcW w:w="1543" w:type="dxa"/>
          </w:tcPr>
          <w:p w14:paraId="1364F327" w14:textId="77777777" w:rsidR="0068148D" w:rsidRDefault="00A56D9F" w:rsidP="0068148D">
            <w:pPr>
              <w:pStyle w:val="NoSpacing"/>
              <w:jc w:val="center"/>
            </w:pPr>
            <w:r>
              <w:t>635</w:t>
            </w:r>
          </w:p>
        </w:tc>
        <w:tc>
          <w:tcPr>
            <w:tcW w:w="1559" w:type="dxa"/>
          </w:tcPr>
          <w:p w14:paraId="22D0D27F" w14:textId="77777777" w:rsidR="0068148D" w:rsidRDefault="00E215D2" w:rsidP="0068148D">
            <w:pPr>
              <w:pStyle w:val="NoSpacing"/>
              <w:jc w:val="center"/>
            </w:pPr>
            <w:r>
              <w:t>0</w:t>
            </w:r>
          </w:p>
        </w:tc>
        <w:tc>
          <w:tcPr>
            <w:tcW w:w="1559" w:type="dxa"/>
          </w:tcPr>
          <w:p w14:paraId="402815DF" w14:textId="77777777" w:rsidR="0068148D" w:rsidRDefault="0068148D" w:rsidP="0068148D">
            <w:pPr>
              <w:pStyle w:val="NoSpacing"/>
              <w:jc w:val="center"/>
            </w:pPr>
          </w:p>
        </w:tc>
        <w:tc>
          <w:tcPr>
            <w:tcW w:w="1276" w:type="dxa"/>
          </w:tcPr>
          <w:p w14:paraId="5CDBEDA4" w14:textId="77777777" w:rsidR="0068148D" w:rsidRDefault="0068148D" w:rsidP="0068148D">
            <w:pPr>
              <w:pStyle w:val="NoSpacing"/>
              <w:jc w:val="center"/>
            </w:pPr>
          </w:p>
        </w:tc>
        <w:tc>
          <w:tcPr>
            <w:tcW w:w="2148" w:type="dxa"/>
          </w:tcPr>
          <w:p w14:paraId="7C38A06A" w14:textId="77777777" w:rsidR="0068148D" w:rsidRPr="00E215D2" w:rsidRDefault="00E215D2" w:rsidP="00E215D2">
            <w:r w:rsidRPr="00E215D2">
              <w:t>Central Office is still finalizing the regional target</w:t>
            </w:r>
          </w:p>
        </w:tc>
      </w:tr>
      <w:tr w:rsidR="0068148D" w:rsidRPr="00E658B9" w14:paraId="7034D1B7" w14:textId="77777777" w:rsidTr="00DF371E">
        <w:trPr>
          <w:trHeight w:val="295"/>
        </w:trPr>
        <w:tc>
          <w:tcPr>
            <w:tcW w:w="2280" w:type="dxa"/>
          </w:tcPr>
          <w:p w14:paraId="73B99E05" w14:textId="77777777" w:rsidR="0068148D" w:rsidRPr="00EF5F84" w:rsidRDefault="0068148D" w:rsidP="0068148D">
            <w:pPr>
              <w:pStyle w:val="NoSpacing"/>
              <w:rPr>
                <w:shd w:val="clear" w:color="auto" w:fill="FFFFFF"/>
              </w:rPr>
            </w:pPr>
            <w:r>
              <w:rPr>
                <w:shd w:val="clear" w:color="auto" w:fill="FFFFFF"/>
              </w:rPr>
              <w:t>a. Region</w:t>
            </w:r>
          </w:p>
        </w:tc>
        <w:tc>
          <w:tcPr>
            <w:tcW w:w="1543" w:type="dxa"/>
          </w:tcPr>
          <w:p w14:paraId="32F009EC" w14:textId="77777777" w:rsidR="0068148D" w:rsidRDefault="00E215D2" w:rsidP="0068148D">
            <w:pPr>
              <w:pStyle w:val="NoSpacing"/>
              <w:jc w:val="center"/>
            </w:pPr>
            <w:r>
              <w:t>1</w:t>
            </w:r>
          </w:p>
        </w:tc>
        <w:tc>
          <w:tcPr>
            <w:tcW w:w="1559" w:type="dxa"/>
          </w:tcPr>
          <w:p w14:paraId="3DB96FFC" w14:textId="77777777" w:rsidR="0068148D" w:rsidRDefault="007E270A" w:rsidP="0068148D">
            <w:pPr>
              <w:pStyle w:val="NoSpacing"/>
              <w:jc w:val="center"/>
            </w:pPr>
            <w:r>
              <w:t>0</w:t>
            </w:r>
          </w:p>
        </w:tc>
        <w:tc>
          <w:tcPr>
            <w:tcW w:w="1559" w:type="dxa"/>
          </w:tcPr>
          <w:p w14:paraId="0E09FACE" w14:textId="77777777" w:rsidR="0068148D" w:rsidRDefault="0068148D" w:rsidP="0068148D">
            <w:pPr>
              <w:pStyle w:val="NoSpacing"/>
              <w:jc w:val="center"/>
            </w:pPr>
          </w:p>
        </w:tc>
        <w:tc>
          <w:tcPr>
            <w:tcW w:w="1276" w:type="dxa"/>
          </w:tcPr>
          <w:p w14:paraId="2FE765A9" w14:textId="77777777" w:rsidR="0068148D" w:rsidRDefault="0068148D" w:rsidP="0068148D">
            <w:pPr>
              <w:pStyle w:val="NoSpacing"/>
              <w:jc w:val="center"/>
            </w:pPr>
          </w:p>
        </w:tc>
        <w:tc>
          <w:tcPr>
            <w:tcW w:w="2148" w:type="dxa"/>
          </w:tcPr>
          <w:p w14:paraId="5B33E068" w14:textId="77777777" w:rsidR="0068148D" w:rsidRPr="00EF5F84" w:rsidRDefault="0068148D" w:rsidP="0068148D">
            <w:pPr>
              <w:pStyle w:val="NoSpacing"/>
              <w:rPr>
                <w:color w:val="000000"/>
                <w:sz w:val="20"/>
                <w:szCs w:val="20"/>
                <w:shd w:val="clear" w:color="auto" w:fill="FFFFFF"/>
              </w:rPr>
            </w:pPr>
          </w:p>
        </w:tc>
      </w:tr>
      <w:tr w:rsidR="0068148D" w:rsidRPr="00E658B9" w14:paraId="6DF35696" w14:textId="77777777" w:rsidTr="00DF371E">
        <w:trPr>
          <w:trHeight w:val="295"/>
        </w:trPr>
        <w:tc>
          <w:tcPr>
            <w:tcW w:w="2280" w:type="dxa"/>
          </w:tcPr>
          <w:p w14:paraId="355E54D0" w14:textId="77777777" w:rsidR="0068148D" w:rsidRPr="00EF5F84" w:rsidRDefault="0068148D" w:rsidP="0068148D">
            <w:pPr>
              <w:pStyle w:val="NoSpacing"/>
              <w:rPr>
                <w:shd w:val="clear" w:color="auto" w:fill="FFFFFF"/>
              </w:rPr>
            </w:pPr>
            <w:r>
              <w:rPr>
                <w:shd w:val="clear" w:color="auto" w:fill="FFFFFF"/>
              </w:rPr>
              <w:t>b. Province</w:t>
            </w:r>
          </w:p>
        </w:tc>
        <w:tc>
          <w:tcPr>
            <w:tcW w:w="1543" w:type="dxa"/>
          </w:tcPr>
          <w:p w14:paraId="7EE888CC" w14:textId="77777777" w:rsidR="0068148D" w:rsidRDefault="00E215D2" w:rsidP="0068148D">
            <w:pPr>
              <w:pStyle w:val="NoSpacing"/>
              <w:jc w:val="center"/>
            </w:pPr>
            <w:r>
              <w:t>2</w:t>
            </w:r>
          </w:p>
        </w:tc>
        <w:tc>
          <w:tcPr>
            <w:tcW w:w="1559" w:type="dxa"/>
          </w:tcPr>
          <w:p w14:paraId="39D50720" w14:textId="77777777" w:rsidR="0068148D" w:rsidRDefault="007E270A" w:rsidP="0068148D">
            <w:pPr>
              <w:pStyle w:val="NoSpacing"/>
              <w:jc w:val="center"/>
            </w:pPr>
            <w:r>
              <w:t>0</w:t>
            </w:r>
          </w:p>
        </w:tc>
        <w:tc>
          <w:tcPr>
            <w:tcW w:w="1559" w:type="dxa"/>
          </w:tcPr>
          <w:p w14:paraId="3C7F2AC5" w14:textId="77777777" w:rsidR="0068148D" w:rsidRDefault="0068148D" w:rsidP="0068148D">
            <w:pPr>
              <w:pStyle w:val="NoSpacing"/>
              <w:jc w:val="center"/>
            </w:pPr>
          </w:p>
        </w:tc>
        <w:tc>
          <w:tcPr>
            <w:tcW w:w="1276" w:type="dxa"/>
          </w:tcPr>
          <w:p w14:paraId="7598A0BA" w14:textId="77777777" w:rsidR="0068148D" w:rsidRDefault="0068148D" w:rsidP="0068148D">
            <w:pPr>
              <w:pStyle w:val="NoSpacing"/>
              <w:jc w:val="center"/>
            </w:pPr>
          </w:p>
        </w:tc>
        <w:tc>
          <w:tcPr>
            <w:tcW w:w="2148" w:type="dxa"/>
          </w:tcPr>
          <w:p w14:paraId="7B5B059D" w14:textId="77777777" w:rsidR="0068148D" w:rsidRPr="00EF5F84" w:rsidRDefault="0068148D" w:rsidP="0068148D">
            <w:pPr>
              <w:pStyle w:val="NoSpacing"/>
              <w:rPr>
                <w:color w:val="000000"/>
                <w:sz w:val="20"/>
                <w:szCs w:val="20"/>
                <w:shd w:val="clear" w:color="auto" w:fill="FFFFFF"/>
              </w:rPr>
            </w:pPr>
          </w:p>
        </w:tc>
      </w:tr>
      <w:tr w:rsidR="0068148D" w:rsidRPr="00E658B9" w14:paraId="2AC3642A" w14:textId="77777777" w:rsidTr="00DF371E">
        <w:trPr>
          <w:trHeight w:val="295"/>
        </w:trPr>
        <w:tc>
          <w:tcPr>
            <w:tcW w:w="2280" w:type="dxa"/>
          </w:tcPr>
          <w:p w14:paraId="2B4DB0C1" w14:textId="77777777" w:rsidR="0068148D" w:rsidRPr="00EF5F84" w:rsidRDefault="0068148D" w:rsidP="0068148D">
            <w:pPr>
              <w:pStyle w:val="NoSpacing"/>
              <w:rPr>
                <w:shd w:val="clear" w:color="auto" w:fill="FFFFFF"/>
              </w:rPr>
            </w:pPr>
            <w:r>
              <w:rPr>
                <w:shd w:val="clear" w:color="auto" w:fill="FFFFFF"/>
              </w:rPr>
              <w:t>c. Municipality</w:t>
            </w:r>
          </w:p>
        </w:tc>
        <w:tc>
          <w:tcPr>
            <w:tcW w:w="1543" w:type="dxa"/>
          </w:tcPr>
          <w:p w14:paraId="5E82A41E" w14:textId="77777777" w:rsidR="0068148D" w:rsidRDefault="00E215D2" w:rsidP="0068148D">
            <w:pPr>
              <w:pStyle w:val="NoSpacing"/>
              <w:jc w:val="center"/>
            </w:pPr>
            <w:r>
              <w:t>4</w:t>
            </w:r>
          </w:p>
        </w:tc>
        <w:tc>
          <w:tcPr>
            <w:tcW w:w="1559" w:type="dxa"/>
          </w:tcPr>
          <w:p w14:paraId="54DF0217" w14:textId="77777777" w:rsidR="0068148D" w:rsidRDefault="007E270A" w:rsidP="0068148D">
            <w:pPr>
              <w:pStyle w:val="NoSpacing"/>
              <w:jc w:val="center"/>
            </w:pPr>
            <w:r>
              <w:t>0</w:t>
            </w:r>
          </w:p>
        </w:tc>
        <w:tc>
          <w:tcPr>
            <w:tcW w:w="1559" w:type="dxa"/>
          </w:tcPr>
          <w:p w14:paraId="0A601B7A" w14:textId="77777777" w:rsidR="0068148D" w:rsidRDefault="0068148D" w:rsidP="0068148D">
            <w:pPr>
              <w:pStyle w:val="NoSpacing"/>
              <w:jc w:val="center"/>
            </w:pPr>
          </w:p>
        </w:tc>
        <w:tc>
          <w:tcPr>
            <w:tcW w:w="1276" w:type="dxa"/>
          </w:tcPr>
          <w:p w14:paraId="240AD91C" w14:textId="77777777" w:rsidR="0068148D" w:rsidRDefault="0068148D" w:rsidP="0068148D">
            <w:pPr>
              <w:pStyle w:val="NoSpacing"/>
              <w:jc w:val="center"/>
            </w:pPr>
          </w:p>
        </w:tc>
        <w:tc>
          <w:tcPr>
            <w:tcW w:w="2148" w:type="dxa"/>
          </w:tcPr>
          <w:p w14:paraId="4F37CD14" w14:textId="77777777" w:rsidR="0068148D" w:rsidRPr="00EF5F84" w:rsidRDefault="0068148D" w:rsidP="0068148D">
            <w:pPr>
              <w:pStyle w:val="NoSpacing"/>
              <w:rPr>
                <w:color w:val="000000"/>
                <w:sz w:val="20"/>
                <w:szCs w:val="20"/>
                <w:shd w:val="clear" w:color="auto" w:fill="FFFFFF"/>
              </w:rPr>
            </w:pPr>
          </w:p>
        </w:tc>
      </w:tr>
      <w:tr w:rsidR="0068148D" w:rsidRPr="00E658B9" w14:paraId="2C8E0917" w14:textId="77777777" w:rsidTr="00DF371E">
        <w:trPr>
          <w:trHeight w:val="295"/>
        </w:trPr>
        <w:tc>
          <w:tcPr>
            <w:tcW w:w="2280" w:type="dxa"/>
          </w:tcPr>
          <w:p w14:paraId="24E66851" w14:textId="77777777" w:rsidR="0068148D" w:rsidRPr="00EF5F84" w:rsidRDefault="0068148D" w:rsidP="0068148D">
            <w:pPr>
              <w:pStyle w:val="NoSpacing"/>
              <w:rPr>
                <w:shd w:val="clear" w:color="auto" w:fill="FFFFFF"/>
              </w:rPr>
            </w:pPr>
            <w:r>
              <w:rPr>
                <w:shd w:val="clear" w:color="auto" w:fill="FFFFFF"/>
              </w:rPr>
              <w:t>d. Barangay</w:t>
            </w:r>
          </w:p>
        </w:tc>
        <w:tc>
          <w:tcPr>
            <w:tcW w:w="1543" w:type="dxa"/>
          </w:tcPr>
          <w:p w14:paraId="363CA2B9" w14:textId="77777777" w:rsidR="0068148D" w:rsidRDefault="00E215D2" w:rsidP="0068148D">
            <w:pPr>
              <w:pStyle w:val="NoSpacing"/>
              <w:jc w:val="center"/>
            </w:pPr>
            <w:r>
              <w:t>64</w:t>
            </w:r>
          </w:p>
        </w:tc>
        <w:tc>
          <w:tcPr>
            <w:tcW w:w="1559" w:type="dxa"/>
          </w:tcPr>
          <w:p w14:paraId="4F3B6EFE" w14:textId="77777777" w:rsidR="0068148D" w:rsidRDefault="007E270A" w:rsidP="0068148D">
            <w:pPr>
              <w:pStyle w:val="NoSpacing"/>
              <w:jc w:val="center"/>
            </w:pPr>
            <w:r>
              <w:t>0</w:t>
            </w:r>
          </w:p>
        </w:tc>
        <w:tc>
          <w:tcPr>
            <w:tcW w:w="1559" w:type="dxa"/>
          </w:tcPr>
          <w:p w14:paraId="361DF3AB" w14:textId="77777777" w:rsidR="0068148D" w:rsidRDefault="0068148D" w:rsidP="0068148D">
            <w:pPr>
              <w:pStyle w:val="NoSpacing"/>
              <w:jc w:val="center"/>
            </w:pPr>
          </w:p>
        </w:tc>
        <w:tc>
          <w:tcPr>
            <w:tcW w:w="1276" w:type="dxa"/>
          </w:tcPr>
          <w:p w14:paraId="3619C874" w14:textId="77777777" w:rsidR="0068148D" w:rsidRDefault="0068148D" w:rsidP="0068148D">
            <w:pPr>
              <w:pStyle w:val="NoSpacing"/>
              <w:jc w:val="center"/>
            </w:pPr>
          </w:p>
        </w:tc>
        <w:tc>
          <w:tcPr>
            <w:tcW w:w="2148" w:type="dxa"/>
          </w:tcPr>
          <w:p w14:paraId="162BE21C" w14:textId="77777777" w:rsidR="0068148D" w:rsidRPr="0021604C" w:rsidRDefault="0068148D" w:rsidP="0068148D">
            <w:pPr>
              <w:pStyle w:val="NoSpacing"/>
              <w:jc w:val="both"/>
              <w:rPr>
                <w:color w:val="000000"/>
                <w:szCs w:val="20"/>
                <w:shd w:val="clear" w:color="auto" w:fill="FFFFFF"/>
              </w:rPr>
            </w:pPr>
          </w:p>
        </w:tc>
      </w:tr>
      <w:tr w:rsidR="0068148D" w:rsidRPr="00E658B9" w14:paraId="2E317C69" w14:textId="77777777" w:rsidTr="00DF371E">
        <w:trPr>
          <w:trHeight w:val="295"/>
        </w:trPr>
        <w:tc>
          <w:tcPr>
            <w:tcW w:w="2280" w:type="dxa"/>
          </w:tcPr>
          <w:p w14:paraId="5FFF84AE" w14:textId="77777777" w:rsidR="0068148D" w:rsidRPr="0021604C" w:rsidRDefault="0068148D" w:rsidP="0068148D">
            <w:pPr>
              <w:shd w:val="clear" w:color="auto" w:fill="FFFFFF"/>
              <w:textAlignment w:val="top"/>
              <w:rPr>
                <w:color w:val="000000"/>
                <w:szCs w:val="20"/>
                <w:shd w:val="clear" w:color="auto" w:fill="FFFFFF"/>
              </w:rPr>
            </w:pPr>
            <w:r w:rsidRPr="0021604C">
              <w:rPr>
                <w:color w:val="000000"/>
                <w:szCs w:val="20"/>
                <w:shd w:val="clear" w:color="auto" w:fill="FFFFFF"/>
              </w:rPr>
              <w:t>1.16. Number of KC-NCDDP sub-projects completed in accordance with technical plans and schedule</w:t>
            </w:r>
          </w:p>
        </w:tc>
        <w:tc>
          <w:tcPr>
            <w:tcW w:w="1543" w:type="dxa"/>
          </w:tcPr>
          <w:p w14:paraId="6891F26E" w14:textId="77777777" w:rsidR="0068148D" w:rsidRDefault="00E215D2" w:rsidP="0068148D">
            <w:pPr>
              <w:pStyle w:val="NoSpacing"/>
              <w:jc w:val="center"/>
            </w:pPr>
            <w:r>
              <w:t>64</w:t>
            </w:r>
          </w:p>
        </w:tc>
        <w:tc>
          <w:tcPr>
            <w:tcW w:w="1559" w:type="dxa"/>
          </w:tcPr>
          <w:p w14:paraId="420E6364" w14:textId="77777777" w:rsidR="0068148D" w:rsidRDefault="007E270A" w:rsidP="0068148D">
            <w:pPr>
              <w:pStyle w:val="NoSpacing"/>
              <w:jc w:val="center"/>
            </w:pPr>
            <w:r>
              <w:t>0</w:t>
            </w:r>
          </w:p>
        </w:tc>
        <w:tc>
          <w:tcPr>
            <w:tcW w:w="1559" w:type="dxa"/>
          </w:tcPr>
          <w:p w14:paraId="3D07CFB7" w14:textId="77777777" w:rsidR="0068148D" w:rsidRDefault="0068148D" w:rsidP="0068148D">
            <w:pPr>
              <w:pStyle w:val="NoSpacing"/>
              <w:jc w:val="center"/>
            </w:pPr>
          </w:p>
        </w:tc>
        <w:tc>
          <w:tcPr>
            <w:tcW w:w="1276" w:type="dxa"/>
          </w:tcPr>
          <w:p w14:paraId="6FB877E5" w14:textId="77777777" w:rsidR="0068148D" w:rsidRDefault="0068148D" w:rsidP="0068148D">
            <w:pPr>
              <w:pStyle w:val="NoSpacing"/>
              <w:jc w:val="center"/>
            </w:pPr>
          </w:p>
        </w:tc>
        <w:tc>
          <w:tcPr>
            <w:tcW w:w="2148" w:type="dxa"/>
          </w:tcPr>
          <w:p w14:paraId="12DC72EC" w14:textId="77777777" w:rsidR="0068148D" w:rsidRPr="0021604C" w:rsidRDefault="0068148D" w:rsidP="0068148D">
            <w:pPr>
              <w:pStyle w:val="NoSpacing"/>
              <w:jc w:val="both"/>
              <w:rPr>
                <w:color w:val="000000"/>
                <w:szCs w:val="20"/>
                <w:shd w:val="clear" w:color="auto" w:fill="FFFFFF"/>
              </w:rPr>
            </w:pPr>
          </w:p>
        </w:tc>
      </w:tr>
      <w:tr w:rsidR="0068148D" w:rsidRPr="00E658B9" w14:paraId="1970BE0B" w14:textId="77777777" w:rsidTr="00DF371E">
        <w:trPr>
          <w:trHeight w:val="295"/>
        </w:trPr>
        <w:tc>
          <w:tcPr>
            <w:tcW w:w="2280" w:type="dxa"/>
          </w:tcPr>
          <w:p w14:paraId="3B7E9638" w14:textId="77777777" w:rsidR="0068148D" w:rsidRPr="0021604C" w:rsidRDefault="0068148D" w:rsidP="0068148D">
            <w:pPr>
              <w:shd w:val="clear" w:color="auto" w:fill="FFFFFF"/>
              <w:textAlignment w:val="top"/>
              <w:rPr>
                <w:color w:val="000000"/>
                <w:szCs w:val="20"/>
                <w:shd w:val="clear" w:color="auto" w:fill="FFFFFF"/>
              </w:rPr>
            </w:pPr>
            <w:r w:rsidRPr="0021604C">
              <w:rPr>
                <w:color w:val="000000"/>
                <w:szCs w:val="20"/>
                <w:shd w:val="clear" w:color="auto" w:fill="FFFFFF"/>
              </w:rPr>
              <w:t>1.17. Number of households benefitted from completed KC-NCDDP sub-projects</w:t>
            </w:r>
          </w:p>
        </w:tc>
        <w:tc>
          <w:tcPr>
            <w:tcW w:w="1543" w:type="dxa"/>
          </w:tcPr>
          <w:p w14:paraId="0255C687" w14:textId="77777777" w:rsidR="0068148D" w:rsidRDefault="00E215D2" w:rsidP="0068148D">
            <w:pPr>
              <w:pStyle w:val="NoSpacing"/>
              <w:jc w:val="center"/>
            </w:pPr>
            <w:r>
              <w:t>500</w:t>
            </w:r>
          </w:p>
        </w:tc>
        <w:tc>
          <w:tcPr>
            <w:tcW w:w="1559" w:type="dxa"/>
          </w:tcPr>
          <w:p w14:paraId="2FADD6E7" w14:textId="77777777" w:rsidR="0068148D" w:rsidRDefault="007E270A" w:rsidP="0068148D">
            <w:pPr>
              <w:pStyle w:val="NoSpacing"/>
              <w:jc w:val="center"/>
            </w:pPr>
            <w:r>
              <w:t>0</w:t>
            </w:r>
          </w:p>
        </w:tc>
        <w:tc>
          <w:tcPr>
            <w:tcW w:w="1559" w:type="dxa"/>
          </w:tcPr>
          <w:p w14:paraId="3B1A15B1" w14:textId="77777777" w:rsidR="0068148D" w:rsidRDefault="0068148D" w:rsidP="0068148D">
            <w:pPr>
              <w:pStyle w:val="NoSpacing"/>
              <w:jc w:val="center"/>
            </w:pPr>
          </w:p>
        </w:tc>
        <w:tc>
          <w:tcPr>
            <w:tcW w:w="1276" w:type="dxa"/>
          </w:tcPr>
          <w:p w14:paraId="72BEF380" w14:textId="77777777" w:rsidR="0068148D" w:rsidRDefault="0068148D" w:rsidP="0068148D">
            <w:pPr>
              <w:pStyle w:val="NoSpacing"/>
              <w:jc w:val="center"/>
            </w:pPr>
          </w:p>
        </w:tc>
        <w:tc>
          <w:tcPr>
            <w:tcW w:w="2148" w:type="dxa"/>
          </w:tcPr>
          <w:p w14:paraId="22906B4A" w14:textId="77777777" w:rsidR="0068148D" w:rsidRDefault="0068148D" w:rsidP="0068148D">
            <w:pPr>
              <w:pStyle w:val="NoSpacing"/>
              <w:jc w:val="both"/>
              <w:rPr>
                <w:color w:val="000000"/>
                <w:sz w:val="20"/>
                <w:szCs w:val="20"/>
                <w:shd w:val="clear" w:color="auto" w:fill="FFFFFF"/>
              </w:rPr>
            </w:pPr>
          </w:p>
        </w:tc>
      </w:tr>
      <w:tr w:rsidR="0068148D" w:rsidRPr="00E658B9" w14:paraId="0B57E4BC" w14:textId="77777777" w:rsidTr="00DF371E">
        <w:trPr>
          <w:trHeight w:val="295"/>
        </w:trPr>
        <w:tc>
          <w:tcPr>
            <w:tcW w:w="2280" w:type="dxa"/>
          </w:tcPr>
          <w:p w14:paraId="15375C67" w14:textId="77777777" w:rsidR="0068148D" w:rsidRPr="0021604C" w:rsidRDefault="0068148D" w:rsidP="0068148D">
            <w:pPr>
              <w:shd w:val="clear" w:color="auto" w:fill="FFFFFF"/>
              <w:textAlignment w:val="top"/>
              <w:rPr>
                <w:color w:val="000000"/>
                <w:szCs w:val="20"/>
                <w:shd w:val="clear" w:color="auto" w:fill="FFFFFF"/>
              </w:rPr>
            </w:pPr>
            <w:r w:rsidRPr="0021604C">
              <w:rPr>
                <w:color w:val="000000"/>
                <w:szCs w:val="20"/>
                <w:shd w:val="clear" w:color="auto" w:fill="FFFFFF"/>
              </w:rPr>
              <w:t>1.18. Percentage of Pantawid Pamilya community members employed in KC-NCDDP sub-projects</w:t>
            </w:r>
          </w:p>
        </w:tc>
        <w:tc>
          <w:tcPr>
            <w:tcW w:w="1543" w:type="dxa"/>
          </w:tcPr>
          <w:p w14:paraId="07E09BEF" w14:textId="77777777" w:rsidR="0068148D" w:rsidRDefault="007E270A" w:rsidP="0068148D">
            <w:pPr>
              <w:pStyle w:val="NoSpacing"/>
              <w:jc w:val="center"/>
            </w:pPr>
            <w:r>
              <w:t>TBD</w:t>
            </w:r>
          </w:p>
        </w:tc>
        <w:tc>
          <w:tcPr>
            <w:tcW w:w="1559" w:type="dxa"/>
          </w:tcPr>
          <w:p w14:paraId="4ECAE25C" w14:textId="77777777" w:rsidR="0068148D" w:rsidRDefault="007E270A" w:rsidP="0068148D">
            <w:pPr>
              <w:pStyle w:val="NoSpacing"/>
              <w:jc w:val="center"/>
            </w:pPr>
            <w:r>
              <w:t>TBD</w:t>
            </w:r>
          </w:p>
        </w:tc>
        <w:tc>
          <w:tcPr>
            <w:tcW w:w="1559" w:type="dxa"/>
          </w:tcPr>
          <w:p w14:paraId="585AC8A6" w14:textId="77777777" w:rsidR="0068148D" w:rsidRDefault="0068148D" w:rsidP="0068148D">
            <w:pPr>
              <w:pStyle w:val="NoSpacing"/>
              <w:jc w:val="center"/>
            </w:pPr>
          </w:p>
        </w:tc>
        <w:tc>
          <w:tcPr>
            <w:tcW w:w="1276" w:type="dxa"/>
          </w:tcPr>
          <w:p w14:paraId="2DD0715B" w14:textId="77777777" w:rsidR="0068148D" w:rsidRDefault="0068148D" w:rsidP="0068148D">
            <w:pPr>
              <w:pStyle w:val="NoSpacing"/>
              <w:jc w:val="center"/>
            </w:pPr>
          </w:p>
        </w:tc>
        <w:tc>
          <w:tcPr>
            <w:tcW w:w="2148" w:type="dxa"/>
          </w:tcPr>
          <w:p w14:paraId="30997CDD" w14:textId="77777777" w:rsidR="0068148D" w:rsidRDefault="0068148D" w:rsidP="0068148D">
            <w:pPr>
              <w:pStyle w:val="NoSpacing"/>
              <w:jc w:val="both"/>
              <w:rPr>
                <w:color w:val="000000"/>
                <w:sz w:val="20"/>
                <w:szCs w:val="20"/>
                <w:shd w:val="clear" w:color="auto" w:fill="FFFFFF"/>
              </w:rPr>
            </w:pPr>
          </w:p>
        </w:tc>
      </w:tr>
      <w:tr w:rsidR="0068148D" w:rsidRPr="00E658B9" w14:paraId="4A12AD87" w14:textId="77777777" w:rsidTr="00DF371E">
        <w:trPr>
          <w:trHeight w:val="295"/>
        </w:trPr>
        <w:tc>
          <w:tcPr>
            <w:tcW w:w="2280" w:type="dxa"/>
          </w:tcPr>
          <w:p w14:paraId="45EEA77C" w14:textId="77777777" w:rsidR="0068148D" w:rsidRPr="0021604C" w:rsidRDefault="0068148D" w:rsidP="0068148D">
            <w:pPr>
              <w:rPr>
                <w:i/>
                <w:iCs/>
                <w:color w:val="000000"/>
                <w:szCs w:val="20"/>
              </w:rPr>
            </w:pPr>
            <w:r w:rsidRPr="0021604C">
              <w:rPr>
                <w:i/>
                <w:iCs/>
                <w:color w:val="000000"/>
                <w:szCs w:val="20"/>
              </w:rPr>
              <w:t>Total number of Pantawid Pamilya community members employed in KC-NCDDP projects</w:t>
            </w:r>
          </w:p>
        </w:tc>
        <w:tc>
          <w:tcPr>
            <w:tcW w:w="1543" w:type="dxa"/>
          </w:tcPr>
          <w:p w14:paraId="6F9C19CF" w14:textId="77777777" w:rsidR="0068148D" w:rsidRDefault="007E270A" w:rsidP="0068148D">
            <w:pPr>
              <w:pStyle w:val="NoSpacing"/>
              <w:jc w:val="center"/>
            </w:pPr>
            <w:r>
              <w:t>TBD</w:t>
            </w:r>
          </w:p>
        </w:tc>
        <w:tc>
          <w:tcPr>
            <w:tcW w:w="1559" w:type="dxa"/>
          </w:tcPr>
          <w:p w14:paraId="52970B44" w14:textId="77777777" w:rsidR="0068148D" w:rsidRDefault="007E270A" w:rsidP="0068148D">
            <w:pPr>
              <w:pStyle w:val="NoSpacing"/>
              <w:jc w:val="center"/>
            </w:pPr>
            <w:r>
              <w:t>TBD</w:t>
            </w:r>
          </w:p>
        </w:tc>
        <w:tc>
          <w:tcPr>
            <w:tcW w:w="1559" w:type="dxa"/>
          </w:tcPr>
          <w:p w14:paraId="07980D4B" w14:textId="77777777" w:rsidR="0068148D" w:rsidRDefault="0068148D" w:rsidP="0068148D">
            <w:pPr>
              <w:pStyle w:val="NoSpacing"/>
              <w:jc w:val="center"/>
            </w:pPr>
          </w:p>
        </w:tc>
        <w:tc>
          <w:tcPr>
            <w:tcW w:w="1276" w:type="dxa"/>
          </w:tcPr>
          <w:p w14:paraId="6F42A4B3" w14:textId="77777777" w:rsidR="0068148D" w:rsidRDefault="0068148D" w:rsidP="0068148D">
            <w:pPr>
              <w:pStyle w:val="NoSpacing"/>
              <w:jc w:val="center"/>
            </w:pPr>
          </w:p>
        </w:tc>
        <w:tc>
          <w:tcPr>
            <w:tcW w:w="2148" w:type="dxa"/>
          </w:tcPr>
          <w:p w14:paraId="6AB5588B" w14:textId="77777777" w:rsidR="0068148D" w:rsidRDefault="0068148D" w:rsidP="0068148D">
            <w:pPr>
              <w:pStyle w:val="NoSpacing"/>
              <w:jc w:val="both"/>
              <w:rPr>
                <w:color w:val="000000"/>
                <w:sz w:val="20"/>
                <w:szCs w:val="20"/>
                <w:shd w:val="clear" w:color="auto" w:fill="FFFFFF"/>
              </w:rPr>
            </w:pPr>
          </w:p>
        </w:tc>
      </w:tr>
      <w:tr w:rsidR="0068148D" w:rsidRPr="00E658B9" w14:paraId="45AD3514" w14:textId="77777777" w:rsidTr="00DF371E">
        <w:trPr>
          <w:trHeight w:val="295"/>
        </w:trPr>
        <w:tc>
          <w:tcPr>
            <w:tcW w:w="2280" w:type="dxa"/>
            <w:tcBorders>
              <w:bottom w:val="single" w:sz="4" w:space="0" w:color="auto"/>
            </w:tcBorders>
          </w:tcPr>
          <w:p w14:paraId="4997F680" w14:textId="77777777" w:rsidR="0068148D" w:rsidRPr="0021604C" w:rsidRDefault="0068148D" w:rsidP="0068148D">
            <w:pPr>
              <w:rPr>
                <w:i/>
                <w:iCs/>
                <w:color w:val="000000"/>
                <w:szCs w:val="20"/>
              </w:rPr>
            </w:pPr>
            <w:r w:rsidRPr="0021604C">
              <w:rPr>
                <w:i/>
                <w:iCs/>
                <w:color w:val="000000"/>
                <w:szCs w:val="20"/>
              </w:rPr>
              <w:lastRenderedPageBreak/>
              <w:t>Number of Pantawid Pamilya community members</w:t>
            </w:r>
          </w:p>
        </w:tc>
        <w:tc>
          <w:tcPr>
            <w:tcW w:w="1543" w:type="dxa"/>
          </w:tcPr>
          <w:p w14:paraId="65D859E6" w14:textId="77777777" w:rsidR="0068148D" w:rsidRDefault="007E270A" w:rsidP="0068148D">
            <w:pPr>
              <w:pStyle w:val="NoSpacing"/>
              <w:jc w:val="center"/>
            </w:pPr>
            <w:r>
              <w:t>TBD</w:t>
            </w:r>
          </w:p>
        </w:tc>
        <w:tc>
          <w:tcPr>
            <w:tcW w:w="1559" w:type="dxa"/>
          </w:tcPr>
          <w:p w14:paraId="37FDBEBF" w14:textId="77777777" w:rsidR="0068148D" w:rsidRDefault="007E270A" w:rsidP="0068148D">
            <w:pPr>
              <w:pStyle w:val="NoSpacing"/>
              <w:jc w:val="center"/>
            </w:pPr>
            <w:r>
              <w:t>TBD</w:t>
            </w:r>
          </w:p>
        </w:tc>
        <w:tc>
          <w:tcPr>
            <w:tcW w:w="1559" w:type="dxa"/>
          </w:tcPr>
          <w:p w14:paraId="1C8B7856" w14:textId="77777777" w:rsidR="0068148D" w:rsidRDefault="0068148D" w:rsidP="0068148D">
            <w:pPr>
              <w:pStyle w:val="NoSpacing"/>
              <w:jc w:val="center"/>
            </w:pPr>
          </w:p>
        </w:tc>
        <w:tc>
          <w:tcPr>
            <w:tcW w:w="1276" w:type="dxa"/>
          </w:tcPr>
          <w:p w14:paraId="2D9431A4" w14:textId="77777777" w:rsidR="0068148D" w:rsidRDefault="0068148D" w:rsidP="0068148D">
            <w:pPr>
              <w:pStyle w:val="NoSpacing"/>
              <w:jc w:val="center"/>
            </w:pPr>
          </w:p>
        </w:tc>
        <w:tc>
          <w:tcPr>
            <w:tcW w:w="2148" w:type="dxa"/>
          </w:tcPr>
          <w:p w14:paraId="29413579" w14:textId="77777777" w:rsidR="0068148D" w:rsidRDefault="0068148D" w:rsidP="0068148D">
            <w:pPr>
              <w:pStyle w:val="NoSpacing"/>
              <w:jc w:val="both"/>
              <w:rPr>
                <w:color w:val="000000"/>
                <w:sz w:val="20"/>
                <w:szCs w:val="20"/>
                <w:shd w:val="clear" w:color="auto" w:fill="FFFFFF"/>
              </w:rPr>
            </w:pPr>
          </w:p>
        </w:tc>
      </w:tr>
      <w:tr w:rsidR="0068148D" w:rsidRPr="00E658B9" w14:paraId="659A8B0F" w14:textId="77777777" w:rsidTr="00DF371E">
        <w:trPr>
          <w:trHeight w:val="295"/>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20DA1D1B" w14:textId="77777777" w:rsidR="0068148D" w:rsidRPr="0021604C" w:rsidRDefault="0068148D" w:rsidP="0068148D">
            <w:pPr>
              <w:rPr>
                <w:color w:val="000000"/>
                <w:szCs w:val="20"/>
              </w:rPr>
            </w:pPr>
            <w:r w:rsidRPr="0021604C">
              <w:rPr>
                <w:color w:val="000000"/>
                <w:szCs w:val="20"/>
              </w:rPr>
              <w:t>1.19. Total number of volunteers trained on CDD</w:t>
            </w:r>
          </w:p>
        </w:tc>
        <w:tc>
          <w:tcPr>
            <w:tcW w:w="1543" w:type="dxa"/>
          </w:tcPr>
          <w:p w14:paraId="6A9B4A4E" w14:textId="77777777" w:rsidR="0068148D" w:rsidRDefault="007E270A" w:rsidP="0068148D">
            <w:pPr>
              <w:pStyle w:val="NoSpacing"/>
              <w:jc w:val="center"/>
            </w:pPr>
            <w:r>
              <w:t>1,984</w:t>
            </w:r>
          </w:p>
        </w:tc>
        <w:tc>
          <w:tcPr>
            <w:tcW w:w="1559" w:type="dxa"/>
          </w:tcPr>
          <w:p w14:paraId="627E86B3" w14:textId="77777777" w:rsidR="0068148D" w:rsidRDefault="007E270A" w:rsidP="0068148D">
            <w:pPr>
              <w:pStyle w:val="NoSpacing"/>
              <w:jc w:val="center"/>
            </w:pPr>
            <w:r>
              <w:t>N/A</w:t>
            </w:r>
          </w:p>
        </w:tc>
        <w:tc>
          <w:tcPr>
            <w:tcW w:w="1559" w:type="dxa"/>
          </w:tcPr>
          <w:p w14:paraId="2B025E3D" w14:textId="77777777" w:rsidR="0068148D" w:rsidRDefault="0068148D" w:rsidP="0068148D">
            <w:pPr>
              <w:pStyle w:val="NoSpacing"/>
              <w:jc w:val="center"/>
            </w:pPr>
          </w:p>
        </w:tc>
        <w:tc>
          <w:tcPr>
            <w:tcW w:w="1276" w:type="dxa"/>
          </w:tcPr>
          <w:p w14:paraId="14E62281" w14:textId="77777777" w:rsidR="0068148D" w:rsidRDefault="0068148D" w:rsidP="0068148D">
            <w:pPr>
              <w:pStyle w:val="NoSpacing"/>
              <w:jc w:val="center"/>
            </w:pPr>
          </w:p>
        </w:tc>
        <w:tc>
          <w:tcPr>
            <w:tcW w:w="2148" w:type="dxa"/>
          </w:tcPr>
          <w:p w14:paraId="5BC66842" w14:textId="77777777" w:rsidR="0068148D" w:rsidRDefault="0068148D" w:rsidP="0068148D">
            <w:pPr>
              <w:pStyle w:val="NoSpacing"/>
              <w:jc w:val="both"/>
              <w:rPr>
                <w:color w:val="000000"/>
                <w:sz w:val="20"/>
                <w:szCs w:val="20"/>
                <w:shd w:val="clear" w:color="auto" w:fill="FFFFFF"/>
              </w:rPr>
            </w:pPr>
          </w:p>
        </w:tc>
      </w:tr>
      <w:tr w:rsidR="0068148D" w:rsidRPr="00E658B9" w14:paraId="4D52C689" w14:textId="77777777" w:rsidTr="00DF371E">
        <w:trPr>
          <w:trHeight w:val="295"/>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74D5AB8B" w14:textId="77777777" w:rsidR="0068148D" w:rsidRPr="0021604C" w:rsidRDefault="0068148D" w:rsidP="0068148D">
            <w:pPr>
              <w:rPr>
                <w:color w:val="000000"/>
                <w:szCs w:val="20"/>
              </w:rPr>
            </w:pPr>
            <w:r w:rsidRPr="0021604C">
              <w:rPr>
                <w:color w:val="000000"/>
                <w:szCs w:val="20"/>
              </w:rPr>
              <w:t>1.20. No. of women volunteers trained on CDD</w:t>
            </w:r>
          </w:p>
        </w:tc>
        <w:tc>
          <w:tcPr>
            <w:tcW w:w="1543" w:type="dxa"/>
          </w:tcPr>
          <w:p w14:paraId="4422DF51" w14:textId="77777777" w:rsidR="0068148D" w:rsidRDefault="007E270A" w:rsidP="0068148D">
            <w:pPr>
              <w:pStyle w:val="NoSpacing"/>
              <w:jc w:val="center"/>
            </w:pPr>
            <w:r>
              <w:t>384</w:t>
            </w:r>
          </w:p>
        </w:tc>
        <w:tc>
          <w:tcPr>
            <w:tcW w:w="1559" w:type="dxa"/>
          </w:tcPr>
          <w:p w14:paraId="08DE0EF4" w14:textId="77777777" w:rsidR="0068148D" w:rsidRDefault="007E270A" w:rsidP="0068148D">
            <w:pPr>
              <w:pStyle w:val="NoSpacing"/>
              <w:jc w:val="center"/>
            </w:pPr>
            <w:r>
              <w:t>N/A</w:t>
            </w:r>
          </w:p>
        </w:tc>
        <w:tc>
          <w:tcPr>
            <w:tcW w:w="1559" w:type="dxa"/>
          </w:tcPr>
          <w:p w14:paraId="49F06907" w14:textId="77777777" w:rsidR="0068148D" w:rsidRDefault="0068148D" w:rsidP="0068148D">
            <w:pPr>
              <w:pStyle w:val="NoSpacing"/>
              <w:jc w:val="center"/>
            </w:pPr>
          </w:p>
        </w:tc>
        <w:tc>
          <w:tcPr>
            <w:tcW w:w="1276" w:type="dxa"/>
          </w:tcPr>
          <w:p w14:paraId="26FA08D6" w14:textId="77777777" w:rsidR="0068148D" w:rsidRDefault="0068148D" w:rsidP="0068148D">
            <w:pPr>
              <w:pStyle w:val="NoSpacing"/>
              <w:jc w:val="center"/>
            </w:pPr>
          </w:p>
        </w:tc>
        <w:tc>
          <w:tcPr>
            <w:tcW w:w="2148" w:type="dxa"/>
          </w:tcPr>
          <w:p w14:paraId="6131C4AB" w14:textId="77777777" w:rsidR="0068148D" w:rsidRDefault="0068148D" w:rsidP="0068148D">
            <w:pPr>
              <w:pStyle w:val="NoSpacing"/>
              <w:jc w:val="both"/>
              <w:rPr>
                <w:color w:val="000000"/>
                <w:sz w:val="20"/>
                <w:szCs w:val="20"/>
                <w:shd w:val="clear" w:color="auto" w:fill="FFFFFF"/>
              </w:rPr>
            </w:pPr>
          </w:p>
        </w:tc>
      </w:tr>
      <w:tr w:rsidR="0068148D" w:rsidRPr="00E658B9" w14:paraId="4C6A12EF" w14:textId="77777777" w:rsidTr="00DF371E">
        <w:trPr>
          <w:trHeight w:val="295"/>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7B975D9E" w14:textId="77777777" w:rsidR="0068148D" w:rsidRPr="0021604C" w:rsidRDefault="0068148D" w:rsidP="0068148D">
            <w:pPr>
              <w:rPr>
                <w:color w:val="000000"/>
                <w:szCs w:val="20"/>
              </w:rPr>
            </w:pPr>
            <w:r w:rsidRPr="0021604C">
              <w:rPr>
                <w:color w:val="000000"/>
                <w:szCs w:val="20"/>
              </w:rPr>
              <w:t>1.21. Percentage of paid labor jobs created by KC-NCDDP accessed by women</w:t>
            </w:r>
          </w:p>
        </w:tc>
        <w:tc>
          <w:tcPr>
            <w:tcW w:w="1543" w:type="dxa"/>
          </w:tcPr>
          <w:p w14:paraId="78EF6D28" w14:textId="77777777" w:rsidR="0068148D" w:rsidRDefault="007E270A" w:rsidP="0068148D">
            <w:pPr>
              <w:pStyle w:val="NoSpacing"/>
              <w:jc w:val="center"/>
            </w:pPr>
            <w:r>
              <w:t>TBD</w:t>
            </w:r>
          </w:p>
        </w:tc>
        <w:tc>
          <w:tcPr>
            <w:tcW w:w="1559" w:type="dxa"/>
          </w:tcPr>
          <w:p w14:paraId="143B93FD" w14:textId="77777777" w:rsidR="0068148D" w:rsidRDefault="007E270A" w:rsidP="0068148D">
            <w:pPr>
              <w:pStyle w:val="NoSpacing"/>
              <w:jc w:val="center"/>
            </w:pPr>
            <w:r>
              <w:t>N/A</w:t>
            </w:r>
          </w:p>
        </w:tc>
        <w:tc>
          <w:tcPr>
            <w:tcW w:w="1559" w:type="dxa"/>
          </w:tcPr>
          <w:p w14:paraId="4CA91F82" w14:textId="77777777" w:rsidR="0068148D" w:rsidRDefault="0068148D" w:rsidP="0068148D">
            <w:pPr>
              <w:pStyle w:val="NoSpacing"/>
              <w:jc w:val="center"/>
            </w:pPr>
          </w:p>
        </w:tc>
        <w:tc>
          <w:tcPr>
            <w:tcW w:w="1276" w:type="dxa"/>
          </w:tcPr>
          <w:p w14:paraId="0F2AACD3" w14:textId="77777777" w:rsidR="0068148D" w:rsidRDefault="0068148D" w:rsidP="0068148D">
            <w:pPr>
              <w:pStyle w:val="NoSpacing"/>
              <w:jc w:val="center"/>
            </w:pPr>
          </w:p>
        </w:tc>
        <w:tc>
          <w:tcPr>
            <w:tcW w:w="2148" w:type="dxa"/>
          </w:tcPr>
          <w:p w14:paraId="7334D206" w14:textId="77777777" w:rsidR="0068148D" w:rsidRDefault="0068148D" w:rsidP="0068148D">
            <w:pPr>
              <w:pStyle w:val="NoSpacing"/>
              <w:jc w:val="both"/>
              <w:rPr>
                <w:color w:val="000000"/>
                <w:sz w:val="20"/>
                <w:szCs w:val="20"/>
                <w:shd w:val="clear" w:color="auto" w:fill="FFFFFF"/>
              </w:rPr>
            </w:pPr>
          </w:p>
        </w:tc>
      </w:tr>
      <w:tr w:rsidR="0068148D" w:rsidRPr="00E658B9" w14:paraId="04F9BD2E" w14:textId="77777777" w:rsidTr="00DF371E">
        <w:trPr>
          <w:trHeight w:val="295"/>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1C654440" w14:textId="77777777" w:rsidR="0068148D" w:rsidRPr="0021604C" w:rsidRDefault="0068148D" w:rsidP="0068148D">
            <w:pPr>
              <w:rPr>
                <w:color w:val="000000"/>
                <w:szCs w:val="20"/>
              </w:rPr>
            </w:pPr>
            <w:r w:rsidRPr="0021604C">
              <w:rPr>
                <w:color w:val="000000"/>
                <w:szCs w:val="20"/>
              </w:rPr>
              <w:t xml:space="preserve">1.22. No. of family beneficiaries served through </w:t>
            </w:r>
            <w:r>
              <w:rPr>
                <w:color w:val="000000"/>
                <w:szCs w:val="20"/>
              </w:rPr>
              <w:t xml:space="preserve">the </w:t>
            </w:r>
            <w:r w:rsidRPr="0021604C">
              <w:rPr>
                <w:color w:val="000000"/>
                <w:szCs w:val="20"/>
              </w:rPr>
              <w:t>Balik Probinsya Bagong Pag-asa Program</w:t>
            </w:r>
          </w:p>
        </w:tc>
        <w:tc>
          <w:tcPr>
            <w:tcW w:w="1543" w:type="dxa"/>
            <w:tcBorders>
              <w:left w:val="single" w:sz="4" w:space="0" w:color="auto"/>
            </w:tcBorders>
          </w:tcPr>
          <w:p w14:paraId="73F81487" w14:textId="77777777" w:rsidR="0068148D" w:rsidRDefault="007E270A" w:rsidP="0068148D">
            <w:pPr>
              <w:pStyle w:val="NoSpacing"/>
              <w:jc w:val="center"/>
            </w:pPr>
            <w:r>
              <w:t>300</w:t>
            </w:r>
          </w:p>
        </w:tc>
        <w:tc>
          <w:tcPr>
            <w:tcW w:w="1559" w:type="dxa"/>
          </w:tcPr>
          <w:p w14:paraId="0F38719D" w14:textId="77777777" w:rsidR="0068148D" w:rsidRDefault="007E270A" w:rsidP="0068148D">
            <w:pPr>
              <w:pStyle w:val="NoSpacing"/>
              <w:jc w:val="center"/>
            </w:pPr>
            <w:r>
              <w:t>0</w:t>
            </w:r>
          </w:p>
        </w:tc>
        <w:tc>
          <w:tcPr>
            <w:tcW w:w="1559" w:type="dxa"/>
          </w:tcPr>
          <w:p w14:paraId="036B3D2D" w14:textId="77777777" w:rsidR="0068148D" w:rsidRDefault="0068148D" w:rsidP="0068148D">
            <w:pPr>
              <w:pStyle w:val="NoSpacing"/>
              <w:jc w:val="center"/>
            </w:pPr>
          </w:p>
        </w:tc>
        <w:tc>
          <w:tcPr>
            <w:tcW w:w="1276" w:type="dxa"/>
          </w:tcPr>
          <w:p w14:paraId="4416901C" w14:textId="77777777" w:rsidR="0068148D" w:rsidRDefault="0068148D" w:rsidP="0068148D">
            <w:pPr>
              <w:pStyle w:val="NoSpacing"/>
              <w:jc w:val="center"/>
            </w:pPr>
          </w:p>
        </w:tc>
        <w:tc>
          <w:tcPr>
            <w:tcW w:w="2148" w:type="dxa"/>
          </w:tcPr>
          <w:p w14:paraId="30A354D2" w14:textId="77777777" w:rsidR="0068148D" w:rsidRPr="0021604C" w:rsidRDefault="0068148D" w:rsidP="0068148D">
            <w:pPr>
              <w:pStyle w:val="NoSpacing"/>
              <w:jc w:val="both"/>
              <w:rPr>
                <w:color w:val="000000"/>
                <w:szCs w:val="20"/>
                <w:shd w:val="clear" w:color="auto" w:fill="FFFFFF"/>
              </w:rPr>
            </w:pPr>
          </w:p>
        </w:tc>
      </w:tr>
      <w:tr w:rsidR="0068148D" w:rsidRPr="00E658B9" w14:paraId="119F14BA" w14:textId="77777777" w:rsidTr="00DF371E">
        <w:trPr>
          <w:trHeight w:val="295"/>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7BDB4CB9" w14:textId="77777777" w:rsidR="0068148D" w:rsidRDefault="0068148D" w:rsidP="0068148D">
            <w:pPr>
              <w:rPr>
                <w:color w:val="000000"/>
                <w:sz w:val="20"/>
                <w:szCs w:val="20"/>
              </w:rPr>
            </w:pPr>
            <w:r w:rsidRPr="0021604C">
              <w:rPr>
                <w:color w:val="000000"/>
                <w:szCs w:val="20"/>
              </w:rPr>
              <w:t>1.23. No. of community vulnerable areas (CVAs) provided with disaster response services</w:t>
            </w:r>
          </w:p>
        </w:tc>
        <w:tc>
          <w:tcPr>
            <w:tcW w:w="1543" w:type="dxa"/>
            <w:tcBorders>
              <w:left w:val="single" w:sz="4" w:space="0" w:color="auto"/>
            </w:tcBorders>
          </w:tcPr>
          <w:p w14:paraId="271B4C32" w14:textId="77777777" w:rsidR="0068148D" w:rsidRDefault="006F6D08" w:rsidP="0068148D">
            <w:pPr>
              <w:pStyle w:val="NoSpacing"/>
              <w:jc w:val="center"/>
            </w:pPr>
            <w:r>
              <w:t>TBD</w:t>
            </w:r>
          </w:p>
        </w:tc>
        <w:tc>
          <w:tcPr>
            <w:tcW w:w="1559" w:type="dxa"/>
          </w:tcPr>
          <w:p w14:paraId="5D46DEB9" w14:textId="77777777" w:rsidR="0068148D" w:rsidRDefault="006F6D08" w:rsidP="0068148D">
            <w:pPr>
              <w:pStyle w:val="NoSpacing"/>
              <w:jc w:val="center"/>
            </w:pPr>
            <w:r>
              <w:t>N/A</w:t>
            </w:r>
          </w:p>
        </w:tc>
        <w:tc>
          <w:tcPr>
            <w:tcW w:w="1559" w:type="dxa"/>
          </w:tcPr>
          <w:p w14:paraId="02DB40C5" w14:textId="77777777" w:rsidR="0068148D" w:rsidRDefault="0068148D" w:rsidP="0068148D">
            <w:pPr>
              <w:pStyle w:val="NoSpacing"/>
              <w:jc w:val="center"/>
            </w:pPr>
          </w:p>
        </w:tc>
        <w:tc>
          <w:tcPr>
            <w:tcW w:w="1276" w:type="dxa"/>
          </w:tcPr>
          <w:p w14:paraId="305065B6" w14:textId="77777777" w:rsidR="0068148D" w:rsidRDefault="0068148D" w:rsidP="0068148D">
            <w:pPr>
              <w:pStyle w:val="NoSpacing"/>
              <w:jc w:val="center"/>
            </w:pPr>
          </w:p>
        </w:tc>
        <w:tc>
          <w:tcPr>
            <w:tcW w:w="2148" w:type="dxa"/>
          </w:tcPr>
          <w:p w14:paraId="175ACE0A" w14:textId="77777777" w:rsidR="0068148D" w:rsidRPr="0021604C" w:rsidRDefault="0068148D" w:rsidP="0068148D">
            <w:pPr>
              <w:pStyle w:val="NoSpacing"/>
              <w:jc w:val="both"/>
              <w:rPr>
                <w:color w:val="000000"/>
                <w:szCs w:val="20"/>
                <w:shd w:val="clear" w:color="auto" w:fill="FFFFFF"/>
              </w:rPr>
            </w:pPr>
          </w:p>
        </w:tc>
      </w:tr>
      <w:tr w:rsidR="0068148D" w:rsidRPr="00E658B9" w14:paraId="31F27CEA" w14:textId="77777777" w:rsidTr="0068148D">
        <w:trPr>
          <w:trHeight w:val="295"/>
        </w:trPr>
        <w:tc>
          <w:tcPr>
            <w:tcW w:w="10365" w:type="dxa"/>
            <w:gridSpan w:val="6"/>
            <w:tcBorders>
              <w:top w:val="single" w:sz="4" w:space="0" w:color="auto"/>
            </w:tcBorders>
            <w:shd w:val="clear" w:color="auto" w:fill="FBE4D5" w:themeFill="accent2" w:themeFillTint="33"/>
          </w:tcPr>
          <w:p w14:paraId="1EEAD4CD" w14:textId="77777777" w:rsidR="0068148D" w:rsidRPr="00265FD2" w:rsidRDefault="0068148D" w:rsidP="0068148D">
            <w:pPr>
              <w:pStyle w:val="NoSpacing"/>
              <w:rPr>
                <w:b/>
              </w:rPr>
            </w:pPr>
            <w:r w:rsidRPr="00265FD2">
              <w:rPr>
                <w:b/>
              </w:rPr>
              <w:t>Organizational Outcome 2. Rights of Poor and Vulnerable Protected</w:t>
            </w:r>
            <w:r w:rsidRPr="00265FD2">
              <w:rPr>
                <w:b/>
                <w:color w:val="000000" w:themeColor="text1"/>
              </w:rPr>
              <w:t xml:space="preserve">  </w:t>
            </w:r>
          </w:p>
        </w:tc>
      </w:tr>
      <w:tr w:rsidR="0068148D" w:rsidRPr="00E658B9" w14:paraId="54B768C0" w14:textId="77777777" w:rsidTr="0068148D">
        <w:trPr>
          <w:trHeight w:val="295"/>
        </w:trPr>
        <w:tc>
          <w:tcPr>
            <w:tcW w:w="10365" w:type="dxa"/>
            <w:gridSpan w:val="6"/>
            <w:shd w:val="clear" w:color="auto" w:fill="DEEAF6" w:themeFill="accent1" w:themeFillTint="33"/>
          </w:tcPr>
          <w:p w14:paraId="3EAED894" w14:textId="77777777" w:rsidR="0068148D" w:rsidRPr="00265FD2" w:rsidRDefault="0068148D" w:rsidP="0068148D">
            <w:pPr>
              <w:pStyle w:val="NoSpacing"/>
              <w:rPr>
                <w:b/>
              </w:rPr>
            </w:pPr>
            <w:r w:rsidRPr="00B42E7B">
              <w:t xml:space="preserve"> </w:t>
            </w:r>
            <w:r w:rsidRPr="00265FD2">
              <w:rPr>
                <w:b/>
                <w:shd w:val="clear" w:color="auto" w:fill="DEEAF6" w:themeFill="accent1" w:themeFillTint="33"/>
              </w:rPr>
              <w:t>Residential  and Non-Residential Care Sub-Program</w:t>
            </w:r>
            <w:r w:rsidRPr="00265FD2">
              <w:rPr>
                <w:b/>
                <w:color w:val="000000" w:themeColor="text1"/>
              </w:rPr>
              <w:t xml:space="preserve"> </w:t>
            </w:r>
          </w:p>
        </w:tc>
      </w:tr>
      <w:tr w:rsidR="0068148D" w:rsidRPr="00E658B9" w14:paraId="20318B94" w14:textId="77777777" w:rsidTr="00DF371E">
        <w:trPr>
          <w:trHeight w:val="295"/>
        </w:trPr>
        <w:tc>
          <w:tcPr>
            <w:tcW w:w="2280" w:type="dxa"/>
            <w:tcBorders>
              <w:bottom w:val="single" w:sz="4" w:space="0" w:color="auto"/>
            </w:tcBorders>
          </w:tcPr>
          <w:p w14:paraId="1B3A766D" w14:textId="77777777" w:rsidR="0068148D" w:rsidRDefault="0068148D" w:rsidP="0068148D">
            <w:pPr>
              <w:pStyle w:val="NoSpacing"/>
            </w:pPr>
            <w:r>
              <w:t xml:space="preserve">2.2. </w:t>
            </w:r>
            <w:r w:rsidRPr="00926E04">
              <w:t>Number of Clients Served</w:t>
            </w:r>
          </w:p>
        </w:tc>
        <w:tc>
          <w:tcPr>
            <w:tcW w:w="1543" w:type="dxa"/>
            <w:tcBorders>
              <w:bottom w:val="single" w:sz="4" w:space="0" w:color="auto"/>
            </w:tcBorders>
          </w:tcPr>
          <w:p w14:paraId="2CDE03EC" w14:textId="77777777" w:rsidR="0068148D" w:rsidRPr="00B64A59" w:rsidRDefault="008B7E99" w:rsidP="008B7E99">
            <w:pPr>
              <w:pStyle w:val="NoSpacing"/>
              <w:jc w:val="center"/>
            </w:pPr>
            <w:r>
              <w:t>280</w:t>
            </w:r>
          </w:p>
        </w:tc>
        <w:tc>
          <w:tcPr>
            <w:tcW w:w="1559" w:type="dxa"/>
            <w:tcBorders>
              <w:bottom w:val="single" w:sz="4" w:space="0" w:color="auto"/>
            </w:tcBorders>
          </w:tcPr>
          <w:p w14:paraId="5C4943C8" w14:textId="77777777" w:rsidR="0068148D" w:rsidRPr="00B64A59" w:rsidRDefault="008B7E99" w:rsidP="008B7E99">
            <w:pPr>
              <w:pStyle w:val="NoSpacing"/>
              <w:jc w:val="center"/>
            </w:pPr>
            <w:r>
              <w:t>106</w:t>
            </w:r>
          </w:p>
        </w:tc>
        <w:tc>
          <w:tcPr>
            <w:tcW w:w="1559" w:type="dxa"/>
            <w:tcBorders>
              <w:bottom w:val="single" w:sz="4" w:space="0" w:color="auto"/>
            </w:tcBorders>
          </w:tcPr>
          <w:p w14:paraId="01BA41B4" w14:textId="77777777" w:rsidR="0068148D" w:rsidRDefault="008B7E99" w:rsidP="008B7E99">
            <w:pPr>
              <w:pStyle w:val="NoSpacing"/>
              <w:jc w:val="center"/>
            </w:pPr>
            <w:r>
              <w:t>174</w:t>
            </w:r>
            <w:r w:rsidR="00DF371E">
              <w:t>(67.13%)</w:t>
            </w:r>
          </w:p>
        </w:tc>
        <w:tc>
          <w:tcPr>
            <w:tcW w:w="1276" w:type="dxa"/>
            <w:tcBorders>
              <w:bottom w:val="single" w:sz="4" w:space="0" w:color="auto"/>
            </w:tcBorders>
          </w:tcPr>
          <w:p w14:paraId="61773509" w14:textId="77777777" w:rsidR="0068148D" w:rsidRPr="00B64A59" w:rsidRDefault="00DF371E" w:rsidP="0068148D">
            <w:pPr>
              <w:pStyle w:val="NoSpacing"/>
            </w:pPr>
            <w:r>
              <w:t>Major Deviation</w:t>
            </w:r>
          </w:p>
        </w:tc>
        <w:tc>
          <w:tcPr>
            <w:tcW w:w="2148" w:type="dxa"/>
            <w:tcBorders>
              <w:bottom w:val="single" w:sz="4" w:space="0" w:color="auto"/>
            </w:tcBorders>
          </w:tcPr>
          <w:p w14:paraId="353A7F47" w14:textId="77777777" w:rsidR="0068148D" w:rsidRPr="00B64A59" w:rsidRDefault="0068148D" w:rsidP="0068148D">
            <w:pPr>
              <w:pStyle w:val="NoSpacing"/>
            </w:pPr>
          </w:p>
        </w:tc>
      </w:tr>
      <w:tr w:rsidR="008B7E99" w:rsidRPr="00E658B9" w14:paraId="2D5F894E" w14:textId="77777777" w:rsidTr="00DF371E">
        <w:trPr>
          <w:trHeight w:val="295"/>
        </w:trPr>
        <w:tc>
          <w:tcPr>
            <w:tcW w:w="2280" w:type="dxa"/>
            <w:tcBorders>
              <w:top w:val="single" w:sz="4" w:space="0" w:color="auto"/>
              <w:bottom w:val="single" w:sz="4" w:space="0" w:color="auto"/>
              <w:right w:val="single" w:sz="4" w:space="0" w:color="auto"/>
            </w:tcBorders>
          </w:tcPr>
          <w:p w14:paraId="27C47CDE" w14:textId="77777777" w:rsidR="008B7E99" w:rsidRDefault="008B7E99" w:rsidP="008B7E99">
            <w:pPr>
              <w:pStyle w:val="NoSpacing"/>
            </w:pPr>
            <w:r>
              <w:t xml:space="preserve">RSCC </w:t>
            </w:r>
          </w:p>
        </w:tc>
        <w:tc>
          <w:tcPr>
            <w:tcW w:w="1543" w:type="dxa"/>
            <w:tcBorders>
              <w:bottom w:val="single" w:sz="4" w:space="0" w:color="auto"/>
            </w:tcBorders>
          </w:tcPr>
          <w:p w14:paraId="37F70ACB" w14:textId="77777777" w:rsidR="008B7E99" w:rsidRPr="00B64A59" w:rsidRDefault="008B7E99" w:rsidP="008B7E99">
            <w:pPr>
              <w:pStyle w:val="NoSpacing"/>
              <w:jc w:val="center"/>
            </w:pPr>
            <w:r>
              <w:t>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65E5CA" w14:textId="77777777" w:rsidR="008B7E99" w:rsidRDefault="008B7E99" w:rsidP="008B7E99">
            <w:pPr>
              <w:jc w:val="center"/>
              <w:rPr>
                <w:color w:val="000000"/>
              </w:rPr>
            </w:pPr>
            <w:r>
              <w:rPr>
                <w:color w:val="00000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2D3A45" w14:textId="77777777" w:rsidR="008B7E99" w:rsidRDefault="008B7E99" w:rsidP="008B7E99">
            <w:pPr>
              <w:jc w:val="center"/>
              <w:rPr>
                <w:color w:val="000000"/>
              </w:rPr>
            </w:pPr>
            <w:r>
              <w:rPr>
                <w:color w:val="000000"/>
              </w:rPr>
              <w:t>-51</w:t>
            </w:r>
            <w:r w:rsidR="00DF371E">
              <w:rPr>
                <w:color w:val="000000"/>
              </w:rPr>
              <w:t>(</w:t>
            </w:r>
            <w:r w:rsidR="00DF371E">
              <w:t>36.25%)</w:t>
            </w:r>
          </w:p>
        </w:tc>
        <w:tc>
          <w:tcPr>
            <w:tcW w:w="1276" w:type="dxa"/>
            <w:tcBorders>
              <w:top w:val="single" w:sz="4" w:space="0" w:color="auto"/>
              <w:left w:val="single" w:sz="4" w:space="0" w:color="auto"/>
              <w:bottom w:val="single" w:sz="4" w:space="0" w:color="auto"/>
              <w:right w:val="single" w:sz="4" w:space="0" w:color="auto"/>
            </w:tcBorders>
          </w:tcPr>
          <w:p w14:paraId="75213245" w14:textId="77777777" w:rsidR="008B7E99" w:rsidRPr="005F21EC" w:rsidRDefault="00DF371E" w:rsidP="008B7E99">
            <w:r>
              <w:t>Major Deviation</w:t>
            </w:r>
          </w:p>
        </w:tc>
        <w:tc>
          <w:tcPr>
            <w:tcW w:w="2148" w:type="dxa"/>
            <w:tcBorders>
              <w:top w:val="single" w:sz="4" w:space="0" w:color="auto"/>
              <w:left w:val="single" w:sz="4" w:space="0" w:color="auto"/>
              <w:bottom w:val="single" w:sz="4" w:space="0" w:color="auto"/>
            </w:tcBorders>
          </w:tcPr>
          <w:p w14:paraId="15926CAB" w14:textId="77777777" w:rsidR="008B7E99" w:rsidRPr="008B7E99" w:rsidRDefault="008B7E99" w:rsidP="008B7E99">
            <w:pPr>
              <w:pStyle w:val="NoSpacing"/>
              <w:jc w:val="both"/>
            </w:pPr>
            <w:r w:rsidRPr="008B7E99">
              <w:rPr>
                <w:color w:val="000000"/>
                <w:shd w:val="clear" w:color="auto" w:fill="FFFFFF"/>
              </w:rPr>
              <w:t xml:space="preserve">Out of the 29 clients served, 5 are new admissions and 24 are </w:t>
            </w:r>
            <w:r>
              <w:rPr>
                <w:color w:val="000000"/>
                <w:shd w:val="clear" w:color="auto" w:fill="FFFFFF"/>
              </w:rPr>
              <w:t>carry-over</w:t>
            </w:r>
            <w:r w:rsidRPr="008B7E99">
              <w:rPr>
                <w:color w:val="000000"/>
                <w:shd w:val="clear" w:color="auto" w:fill="FFFFFF"/>
              </w:rPr>
              <w:t xml:space="preserve"> cases</w:t>
            </w:r>
          </w:p>
        </w:tc>
      </w:tr>
      <w:tr w:rsidR="00DF371E" w:rsidRPr="00E658B9" w14:paraId="3C726E6B" w14:textId="77777777" w:rsidTr="00DF371E">
        <w:trPr>
          <w:trHeight w:val="295"/>
        </w:trPr>
        <w:tc>
          <w:tcPr>
            <w:tcW w:w="2280" w:type="dxa"/>
            <w:tcBorders>
              <w:top w:val="single" w:sz="4" w:space="0" w:color="auto"/>
              <w:bottom w:val="single" w:sz="4" w:space="0" w:color="auto"/>
            </w:tcBorders>
          </w:tcPr>
          <w:p w14:paraId="45233D1E" w14:textId="77777777" w:rsidR="00DF371E" w:rsidRDefault="00DF371E" w:rsidP="00DF371E">
            <w:pPr>
              <w:pStyle w:val="NoSpacing"/>
            </w:pPr>
            <w:r>
              <w:t xml:space="preserve">CVRRCY </w:t>
            </w:r>
          </w:p>
        </w:tc>
        <w:tc>
          <w:tcPr>
            <w:tcW w:w="1543" w:type="dxa"/>
            <w:tcBorders>
              <w:top w:val="single" w:sz="4" w:space="0" w:color="auto"/>
              <w:left w:val="single" w:sz="4" w:space="0" w:color="auto"/>
              <w:bottom w:val="single" w:sz="4" w:space="0" w:color="auto"/>
              <w:right w:val="single" w:sz="4" w:space="0" w:color="auto"/>
            </w:tcBorders>
          </w:tcPr>
          <w:p w14:paraId="73EC822F" w14:textId="77777777" w:rsidR="00DF371E" w:rsidRDefault="00DF371E" w:rsidP="00DF371E">
            <w:pPr>
              <w:pStyle w:val="NoSpacing"/>
              <w:jc w:val="center"/>
            </w:pPr>
            <w:r>
              <w:t>110</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534B408E" w14:textId="77777777" w:rsidR="00DF371E" w:rsidRDefault="00DF371E" w:rsidP="00DF371E">
            <w:pPr>
              <w:jc w:val="center"/>
              <w:rPr>
                <w:color w:val="000000"/>
              </w:rPr>
            </w:pPr>
            <w:r>
              <w:rPr>
                <w:color w:val="000000"/>
              </w:rPr>
              <w:t>38</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08F86E9E" w14:textId="77777777" w:rsidR="00DF371E" w:rsidRDefault="00DF371E" w:rsidP="00DF371E">
            <w:pPr>
              <w:jc w:val="center"/>
              <w:rPr>
                <w:color w:val="000000"/>
              </w:rPr>
            </w:pPr>
            <w:r>
              <w:rPr>
                <w:color w:val="000000"/>
              </w:rPr>
              <w:t>-72(</w:t>
            </w:r>
            <w:r>
              <w:t>34.55%)</w:t>
            </w:r>
          </w:p>
        </w:tc>
        <w:tc>
          <w:tcPr>
            <w:tcW w:w="1276" w:type="dxa"/>
            <w:tcBorders>
              <w:top w:val="single" w:sz="4" w:space="0" w:color="auto"/>
            </w:tcBorders>
          </w:tcPr>
          <w:p w14:paraId="3DB84D82" w14:textId="77777777" w:rsidR="00DF371E" w:rsidRPr="005F21EC" w:rsidRDefault="00DF371E" w:rsidP="00DF371E">
            <w:r>
              <w:t>Major Deviation</w:t>
            </w:r>
          </w:p>
        </w:tc>
        <w:tc>
          <w:tcPr>
            <w:tcW w:w="2148" w:type="dxa"/>
            <w:tcBorders>
              <w:top w:val="single" w:sz="4" w:space="0" w:color="auto"/>
            </w:tcBorders>
          </w:tcPr>
          <w:p w14:paraId="62825136" w14:textId="77777777" w:rsidR="00DF371E" w:rsidRPr="008B7E99" w:rsidRDefault="00DF371E" w:rsidP="00DF371E">
            <w:pPr>
              <w:pStyle w:val="NoSpacing"/>
              <w:jc w:val="both"/>
            </w:pPr>
            <w:r>
              <w:rPr>
                <w:color w:val="000000"/>
                <w:shd w:val="clear" w:color="auto" w:fill="FFFFFF"/>
              </w:rPr>
              <w:t>Of</w:t>
            </w:r>
            <w:r w:rsidRPr="008B7E99">
              <w:rPr>
                <w:color w:val="000000"/>
                <w:shd w:val="clear" w:color="auto" w:fill="FFFFFF"/>
              </w:rPr>
              <w:t xml:space="preserve"> the 38 served residents, 14 were new admission and 24 are </w:t>
            </w:r>
            <w:r>
              <w:rPr>
                <w:color w:val="000000"/>
                <w:shd w:val="clear" w:color="auto" w:fill="FFFFFF"/>
              </w:rPr>
              <w:t>carry-over</w:t>
            </w:r>
            <w:r w:rsidRPr="008B7E99">
              <w:rPr>
                <w:color w:val="000000"/>
                <w:shd w:val="clear" w:color="auto" w:fill="FFFFFF"/>
              </w:rPr>
              <w:t xml:space="preserve"> cases from CY 2021. Admission is based on the </w:t>
            </w:r>
            <w:r>
              <w:rPr>
                <w:color w:val="000000"/>
                <w:shd w:val="clear" w:color="auto" w:fill="FFFFFF"/>
              </w:rPr>
              <w:t>referral</w:t>
            </w:r>
            <w:r w:rsidRPr="008B7E99">
              <w:rPr>
                <w:color w:val="000000"/>
                <w:shd w:val="clear" w:color="auto" w:fill="FFFFFF"/>
              </w:rPr>
              <w:t xml:space="preserve"> and court order of the referring/committing court/LGU.</w:t>
            </w:r>
          </w:p>
        </w:tc>
      </w:tr>
      <w:tr w:rsidR="00DF371E" w:rsidRPr="00E658B9" w14:paraId="0602FFB5" w14:textId="77777777" w:rsidTr="00DF371E">
        <w:trPr>
          <w:trHeight w:val="295"/>
        </w:trPr>
        <w:tc>
          <w:tcPr>
            <w:tcW w:w="2280" w:type="dxa"/>
            <w:tcBorders>
              <w:bottom w:val="single" w:sz="4" w:space="0" w:color="auto"/>
            </w:tcBorders>
          </w:tcPr>
          <w:p w14:paraId="0D02C4A2" w14:textId="77777777" w:rsidR="00DF371E" w:rsidRDefault="00DF371E" w:rsidP="00DF371E">
            <w:pPr>
              <w:pStyle w:val="NoSpacing"/>
            </w:pPr>
            <w:r>
              <w:t xml:space="preserve">RHWG </w:t>
            </w:r>
          </w:p>
        </w:tc>
        <w:tc>
          <w:tcPr>
            <w:tcW w:w="1543" w:type="dxa"/>
            <w:tcBorders>
              <w:top w:val="single" w:sz="4" w:space="0" w:color="auto"/>
              <w:left w:val="single" w:sz="4" w:space="0" w:color="auto"/>
            </w:tcBorders>
          </w:tcPr>
          <w:p w14:paraId="3E3E3273" w14:textId="77777777" w:rsidR="00DF371E" w:rsidRDefault="00DF371E" w:rsidP="00DF371E">
            <w:pPr>
              <w:pStyle w:val="NoSpacing"/>
              <w:jc w:val="center"/>
            </w:pPr>
            <w:r>
              <w:t>90</w:t>
            </w:r>
          </w:p>
        </w:tc>
        <w:tc>
          <w:tcPr>
            <w:tcW w:w="1559" w:type="dxa"/>
            <w:tcBorders>
              <w:top w:val="nil"/>
              <w:left w:val="single" w:sz="4" w:space="0" w:color="000000"/>
              <w:bottom w:val="single" w:sz="4" w:space="0" w:color="000000"/>
              <w:right w:val="single" w:sz="4" w:space="0" w:color="000000"/>
            </w:tcBorders>
            <w:shd w:val="clear" w:color="auto" w:fill="auto"/>
          </w:tcPr>
          <w:p w14:paraId="73223712" w14:textId="77777777" w:rsidR="00DF371E" w:rsidRDefault="00DF371E" w:rsidP="00DF371E">
            <w:pPr>
              <w:jc w:val="center"/>
              <w:rPr>
                <w:color w:val="000000"/>
              </w:rPr>
            </w:pPr>
            <w:r>
              <w:rPr>
                <w:color w:val="000000"/>
              </w:rPr>
              <w:t>39</w:t>
            </w:r>
          </w:p>
        </w:tc>
        <w:tc>
          <w:tcPr>
            <w:tcW w:w="1559" w:type="dxa"/>
            <w:tcBorders>
              <w:top w:val="nil"/>
              <w:left w:val="single" w:sz="4" w:space="0" w:color="000000"/>
              <w:bottom w:val="single" w:sz="4" w:space="0" w:color="000000"/>
              <w:right w:val="single" w:sz="4" w:space="0" w:color="000000"/>
            </w:tcBorders>
            <w:shd w:val="clear" w:color="auto" w:fill="auto"/>
          </w:tcPr>
          <w:p w14:paraId="02A7B0D1" w14:textId="77777777" w:rsidR="00DF371E" w:rsidRDefault="00DF371E" w:rsidP="00DF371E">
            <w:pPr>
              <w:jc w:val="center"/>
              <w:rPr>
                <w:color w:val="000000"/>
              </w:rPr>
            </w:pPr>
            <w:r>
              <w:rPr>
                <w:color w:val="000000"/>
              </w:rPr>
              <w:t>-51(</w:t>
            </w:r>
            <w:r>
              <w:t>43.33%)</w:t>
            </w:r>
          </w:p>
        </w:tc>
        <w:tc>
          <w:tcPr>
            <w:tcW w:w="1276" w:type="dxa"/>
          </w:tcPr>
          <w:p w14:paraId="7636FE64" w14:textId="77777777" w:rsidR="00DF371E" w:rsidRPr="005F21EC" w:rsidRDefault="00DF371E" w:rsidP="00DF371E">
            <w:r>
              <w:t>Major Deviation</w:t>
            </w:r>
          </w:p>
        </w:tc>
        <w:tc>
          <w:tcPr>
            <w:tcW w:w="2148" w:type="dxa"/>
          </w:tcPr>
          <w:p w14:paraId="36CA3293" w14:textId="77777777" w:rsidR="00DF371E" w:rsidRPr="008B7E99" w:rsidRDefault="00DF371E" w:rsidP="00DF371E">
            <w:pPr>
              <w:pStyle w:val="NoSpacing"/>
              <w:jc w:val="both"/>
            </w:pPr>
            <w:r w:rsidRPr="008B7E99">
              <w:rPr>
                <w:color w:val="000000"/>
                <w:shd w:val="clear" w:color="auto" w:fill="FFFFFF"/>
              </w:rPr>
              <w:t>Out of 35 clients served, 3</w:t>
            </w:r>
            <w:r>
              <w:rPr>
                <w:color w:val="000000"/>
                <w:shd w:val="clear" w:color="auto" w:fill="FFFFFF"/>
              </w:rPr>
              <w:t xml:space="preserve"> are new admissions and 32 are carry-over </w:t>
            </w:r>
            <w:r w:rsidRPr="008B7E99">
              <w:rPr>
                <w:color w:val="000000"/>
                <w:shd w:val="clear" w:color="auto" w:fill="FFFFFF"/>
              </w:rPr>
              <w:t>cases.</w:t>
            </w:r>
          </w:p>
        </w:tc>
      </w:tr>
      <w:tr w:rsidR="00DF371E" w:rsidRPr="00E658B9" w14:paraId="2E3A3569" w14:textId="77777777" w:rsidTr="00DF371E">
        <w:trPr>
          <w:trHeight w:val="295"/>
        </w:trPr>
        <w:tc>
          <w:tcPr>
            <w:tcW w:w="2280" w:type="dxa"/>
            <w:tcBorders>
              <w:bottom w:val="single" w:sz="4" w:space="0" w:color="auto"/>
            </w:tcBorders>
          </w:tcPr>
          <w:p w14:paraId="3C186F1D" w14:textId="77777777" w:rsidR="00DF371E" w:rsidRPr="00B64A59" w:rsidRDefault="00DF371E" w:rsidP="00DF371E">
            <w:pPr>
              <w:pStyle w:val="NoSpacing"/>
            </w:pPr>
            <w:r>
              <w:t xml:space="preserve">2.3. </w:t>
            </w:r>
            <w:r w:rsidRPr="003F5ECD">
              <w:t xml:space="preserve">ALOS of clients in residential </w:t>
            </w:r>
            <w:r w:rsidRPr="003F5ECD">
              <w:lastRenderedPageBreak/>
              <w:t>facilities</w:t>
            </w:r>
            <w:r>
              <w:t xml:space="preserve"> (Rehab-Based)</w:t>
            </w:r>
          </w:p>
        </w:tc>
        <w:tc>
          <w:tcPr>
            <w:tcW w:w="1543" w:type="dxa"/>
          </w:tcPr>
          <w:p w14:paraId="106B7365" w14:textId="77777777" w:rsidR="00DF371E" w:rsidRPr="00B64A59" w:rsidRDefault="00DF371E" w:rsidP="00DF371E">
            <w:pPr>
              <w:pStyle w:val="NoSpacing"/>
            </w:pPr>
          </w:p>
        </w:tc>
        <w:tc>
          <w:tcPr>
            <w:tcW w:w="1559" w:type="dxa"/>
          </w:tcPr>
          <w:p w14:paraId="0536A497" w14:textId="77777777" w:rsidR="00DF371E" w:rsidRPr="00B64A59" w:rsidRDefault="00DF371E" w:rsidP="00DF371E">
            <w:pPr>
              <w:pStyle w:val="NoSpacing"/>
            </w:pPr>
          </w:p>
        </w:tc>
        <w:tc>
          <w:tcPr>
            <w:tcW w:w="1559" w:type="dxa"/>
          </w:tcPr>
          <w:p w14:paraId="1C54DF7E" w14:textId="77777777" w:rsidR="00DF371E" w:rsidRDefault="00DF371E" w:rsidP="00DF371E">
            <w:pPr>
              <w:pStyle w:val="NoSpacing"/>
            </w:pPr>
          </w:p>
        </w:tc>
        <w:tc>
          <w:tcPr>
            <w:tcW w:w="1276" w:type="dxa"/>
          </w:tcPr>
          <w:p w14:paraId="7F0EA5CF" w14:textId="77777777" w:rsidR="00DF371E" w:rsidRPr="00B64A59" w:rsidRDefault="00DF371E" w:rsidP="00DF371E">
            <w:pPr>
              <w:pStyle w:val="NoSpacing"/>
            </w:pPr>
          </w:p>
        </w:tc>
        <w:tc>
          <w:tcPr>
            <w:tcW w:w="2148" w:type="dxa"/>
          </w:tcPr>
          <w:p w14:paraId="6FFBE983" w14:textId="77777777" w:rsidR="00DF371E" w:rsidRPr="00B64A59" w:rsidRDefault="00DF371E" w:rsidP="00DF371E">
            <w:pPr>
              <w:pStyle w:val="NoSpacing"/>
            </w:pPr>
          </w:p>
        </w:tc>
      </w:tr>
      <w:tr w:rsidR="00DF371E" w:rsidRPr="00E658B9" w14:paraId="1D292946" w14:textId="77777777" w:rsidTr="00DF371E">
        <w:trPr>
          <w:trHeight w:val="295"/>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0A1FC980" w14:textId="77777777" w:rsidR="00DF371E" w:rsidRDefault="00DF371E" w:rsidP="00DF371E">
            <w:pPr>
              <w:pStyle w:val="NoSpacing"/>
            </w:pPr>
            <w:r>
              <w:lastRenderedPageBreak/>
              <w:t xml:space="preserve">RSCC </w:t>
            </w:r>
          </w:p>
        </w:tc>
        <w:tc>
          <w:tcPr>
            <w:tcW w:w="1543" w:type="dxa"/>
            <w:tcBorders>
              <w:left w:val="single" w:sz="4" w:space="0" w:color="auto"/>
            </w:tcBorders>
          </w:tcPr>
          <w:p w14:paraId="0081EA80" w14:textId="77777777" w:rsidR="00DF371E" w:rsidRPr="00B64A59" w:rsidRDefault="00DF371E" w:rsidP="00DF371E">
            <w:pPr>
              <w:pStyle w:val="NoSpacing"/>
              <w:jc w:val="center"/>
            </w:pPr>
            <w:r>
              <w:t>209</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tcPr>
          <w:p w14:paraId="130DF06B" w14:textId="77777777" w:rsidR="00DF371E" w:rsidRDefault="00DF371E" w:rsidP="00DF371E">
            <w:pPr>
              <w:jc w:val="center"/>
              <w:rPr>
                <w:color w:val="000000"/>
              </w:rPr>
            </w:pPr>
            <w:r>
              <w:rPr>
                <w:color w:val="000000"/>
              </w:rPr>
              <w:t>139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CEA07" w14:textId="77777777" w:rsidR="00DF371E" w:rsidRDefault="00DF371E" w:rsidP="00DF371E">
            <w:pPr>
              <w:rPr>
                <w:color w:val="000000"/>
              </w:rPr>
            </w:pPr>
            <w:r>
              <w:rPr>
                <w:color w:val="000000"/>
              </w:rPr>
              <w:t>70(</w:t>
            </w:r>
            <w:r>
              <w:t>66.50%)</w:t>
            </w:r>
          </w:p>
        </w:tc>
        <w:tc>
          <w:tcPr>
            <w:tcW w:w="1276" w:type="dxa"/>
          </w:tcPr>
          <w:p w14:paraId="083AD385" w14:textId="77777777" w:rsidR="00DF371E" w:rsidRDefault="00DF371E" w:rsidP="00DF371E">
            <w:r>
              <w:t>Major Deviation</w:t>
            </w:r>
          </w:p>
        </w:tc>
        <w:tc>
          <w:tcPr>
            <w:tcW w:w="2148" w:type="dxa"/>
          </w:tcPr>
          <w:p w14:paraId="53D13D4A" w14:textId="77777777" w:rsidR="00DF371E" w:rsidRPr="00B64A59" w:rsidRDefault="00DF371E" w:rsidP="00DF371E">
            <w:pPr>
              <w:pStyle w:val="NoSpacing"/>
            </w:pPr>
          </w:p>
        </w:tc>
      </w:tr>
      <w:tr w:rsidR="00DF371E" w:rsidRPr="00E658B9" w14:paraId="3F7E6A34" w14:textId="77777777" w:rsidTr="00DF371E">
        <w:trPr>
          <w:trHeight w:val="295"/>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4F211515" w14:textId="77777777" w:rsidR="00DF371E" w:rsidRDefault="00DF371E" w:rsidP="00DF371E">
            <w:pPr>
              <w:pStyle w:val="NoSpacing"/>
            </w:pPr>
            <w:r>
              <w:t xml:space="preserve">CVRRCY </w:t>
            </w:r>
          </w:p>
        </w:tc>
        <w:tc>
          <w:tcPr>
            <w:tcW w:w="1543" w:type="dxa"/>
            <w:tcBorders>
              <w:left w:val="single" w:sz="4" w:space="0" w:color="auto"/>
            </w:tcBorders>
          </w:tcPr>
          <w:p w14:paraId="43329860" w14:textId="77777777" w:rsidR="00DF371E" w:rsidRPr="00B64A59" w:rsidRDefault="00DF371E" w:rsidP="00DF371E">
            <w:pPr>
              <w:pStyle w:val="NoSpacing"/>
              <w:jc w:val="center"/>
            </w:pPr>
            <w:r>
              <w:t>360</w:t>
            </w:r>
          </w:p>
        </w:tc>
        <w:tc>
          <w:tcPr>
            <w:tcW w:w="1559" w:type="dxa"/>
            <w:tcBorders>
              <w:top w:val="nil"/>
              <w:left w:val="single" w:sz="4" w:space="0" w:color="000000"/>
              <w:bottom w:val="single" w:sz="4" w:space="0" w:color="000000"/>
              <w:right w:val="single" w:sz="4" w:space="0" w:color="000000"/>
            </w:tcBorders>
            <w:shd w:val="clear" w:color="auto" w:fill="auto"/>
          </w:tcPr>
          <w:p w14:paraId="070C7B3D" w14:textId="77777777" w:rsidR="00DF371E" w:rsidRDefault="00DF371E" w:rsidP="00DF371E">
            <w:pPr>
              <w:jc w:val="center"/>
              <w:rPr>
                <w:color w:val="000000"/>
              </w:rPr>
            </w:pPr>
            <w:r>
              <w:rPr>
                <w:color w:val="000000"/>
              </w:rPr>
              <w:t>173</w:t>
            </w:r>
          </w:p>
        </w:tc>
        <w:tc>
          <w:tcPr>
            <w:tcW w:w="1559" w:type="dxa"/>
            <w:tcBorders>
              <w:top w:val="nil"/>
              <w:left w:val="single" w:sz="4" w:space="0" w:color="000000"/>
              <w:bottom w:val="single" w:sz="4" w:space="0" w:color="000000"/>
              <w:right w:val="single" w:sz="4" w:space="0" w:color="000000"/>
            </w:tcBorders>
            <w:shd w:val="clear" w:color="auto" w:fill="auto"/>
            <w:vAlign w:val="center"/>
          </w:tcPr>
          <w:p w14:paraId="04E076E8" w14:textId="77777777" w:rsidR="00DF371E" w:rsidRDefault="00DF371E" w:rsidP="00DF371E">
            <w:pPr>
              <w:rPr>
                <w:color w:val="000000"/>
              </w:rPr>
            </w:pPr>
            <w:r>
              <w:rPr>
                <w:color w:val="000000"/>
              </w:rPr>
              <w:t>187 (</w:t>
            </w:r>
            <w:r>
              <w:t>48.05%)</w:t>
            </w:r>
          </w:p>
        </w:tc>
        <w:tc>
          <w:tcPr>
            <w:tcW w:w="1276" w:type="dxa"/>
          </w:tcPr>
          <w:p w14:paraId="323E480C" w14:textId="77777777" w:rsidR="00DF371E" w:rsidRDefault="00DF371E" w:rsidP="00DF371E">
            <w:r>
              <w:t>Major Deviation</w:t>
            </w:r>
          </w:p>
        </w:tc>
        <w:tc>
          <w:tcPr>
            <w:tcW w:w="2148" w:type="dxa"/>
          </w:tcPr>
          <w:p w14:paraId="1A5EBCD1" w14:textId="77777777" w:rsidR="00DF371E" w:rsidRPr="00B64A59" w:rsidRDefault="00DF371E" w:rsidP="00DF371E">
            <w:pPr>
              <w:pStyle w:val="NoSpacing"/>
            </w:pPr>
          </w:p>
        </w:tc>
      </w:tr>
      <w:tr w:rsidR="00DF371E" w:rsidRPr="00E658B9" w14:paraId="26BD0D30" w14:textId="77777777" w:rsidTr="00DF371E">
        <w:trPr>
          <w:trHeight w:val="295"/>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6FBD2348" w14:textId="77777777" w:rsidR="00DF371E" w:rsidRDefault="00DF371E" w:rsidP="00DF371E">
            <w:pPr>
              <w:pStyle w:val="NoSpacing"/>
            </w:pPr>
            <w:r>
              <w:t xml:space="preserve">RHWG </w:t>
            </w:r>
          </w:p>
        </w:tc>
        <w:tc>
          <w:tcPr>
            <w:tcW w:w="1543" w:type="dxa"/>
            <w:tcBorders>
              <w:left w:val="single" w:sz="4" w:space="0" w:color="auto"/>
            </w:tcBorders>
          </w:tcPr>
          <w:p w14:paraId="45FF6B8E" w14:textId="77777777" w:rsidR="00DF371E" w:rsidRPr="00B64A59" w:rsidRDefault="00DF371E" w:rsidP="00DF371E">
            <w:pPr>
              <w:pStyle w:val="NoSpacing"/>
              <w:jc w:val="center"/>
            </w:pPr>
            <w:r>
              <w:t>209</w:t>
            </w:r>
          </w:p>
        </w:tc>
        <w:tc>
          <w:tcPr>
            <w:tcW w:w="1559" w:type="dxa"/>
            <w:tcBorders>
              <w:top w:val="nil"/>
              <w:left w:val="single" w:sz="4" w:space="0" w:color="000000"/>
              <w:bottom w:val="single" w:sz="4" w:space="0" w:color="000000"/>
              <w:right w:val="single" w:sz="4" w:space="0" w:color="000000"/>
            </w:tcBorders>
            <w:shd w:val="clear" w:color="auto" w:fill="auto"/>
          </w:tcPr>
          <w:p w14:paraId="72CDFDBA" w14:textId="77777777" w:rsidR="00DF371E" w:rsidRDefault="00DF371E" w:rsidP="00DF371E">
            <w:pPr>
              <w:jc w:val="center"/>
              <w:rPr>
                <w:color w:val="000000"/>
              </w:rPr>
            </w:pPr>
            <w:r>
              <w:rPr>
                <w:color w:val="000000"/>
              </w:rPr>
              <w:t>204</w:t>
            </w:r>
          </w:p>
        </w:tc>
        <w:tc>
          <w:tcPr>
            <w:tcW w:w="1559" w:type="dxa"/>
            <w:tcBorders>
              <w:top w:val="nil"/>
              <w:left w:val="single" w:sz="4" w:space="0" w:color="000000"/>
              <w:bottom w:val="single" w:sz="4" w:space="0" w:color="000000"/>
              <w:right w:val="single" w:sz="4" w:space="0" w:color="000000"/>
            </w:tcBorders>
            <w:shd w:val="clear" w:color="auto" w:fill="auto"/>
            <w:vAlign w:val="center"/>
          </w:tcPr>
          <w:p w14:paraId="638BABEC" w14:textId="77777777" w:rsidR="00DF371E" w:rsidRDefault="00DF371E" w:rsidP="00DF371E">
            <w:pPr>
              <w:rPr>
                <w:color w:val="000000"/>
              </w:rPr>
            </w:pPr>
            <w:r>
              <w:rPr>
                <w:color w:val="000000"/>
              </w:rPr>
              <w:t>5 (</w:t>
            </w:r>
            <w:r>
              <w:t>97.61%)</w:t>
            </w:r>
          </w:p>
        </w:tc>
        <w:tc>
          <w:tcPr>
            <w:tcW w:w="1276" w:type="dxa"/>
          </w:tcPr>
          <w:p w14:paraId="004F778C" w14:textId="77777777" w:rsidR="00DF371E" w:rsidRDefault="00DF371E" w:rsidP="00DF371E">
            <w:r>
              <w:t>Full Target Achieved</w:t>
            </w:r>
          </w:p>
        </w:tc>
        <w:tc>
          <w:tcPr>
            <w:tcW w:w="2148" w:type="dxa"/>
          </w:tcPr>
          <w:p w14:paraId="03A9DE2D" w14:textId="77777777" w:rsidR="00DF371E" w:rsidRPr="00B64A59" w:rsidRDefault="00DF371E" w:rsidP="00DF371E">
            <w:pPr>
              <w:pStyle w:val="NoSpacing"/>
            </w:pPr>
          </w:p>
        </w:tc>
      </w:tr>
      <w:tr w:rsidR="00DF371E" w:rsidRPr="00E658B9" w14:paraId="7440BD77" w14:textId="77777777" w:rsidTr="00DF371E">
        <w:trPr>
          <w:trHeight w:val="295"/>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3DAFAC10" w14:textId="77777777" w:rsidR="00DF371E" w:rsidRDefault="00DF371E" w:rsidP="00DF371E">
            <w:pPr>
              <w:pStyle w:val="NoSpacing"/>
            </w:pPr>
            <w:r>
              <w:t>2.4.</w:t>
            </w:r>
            <w:r w:rsidRPr="006C4B12">
              <w:t>Percentage of facilities with standard client-staff ratio</w:t>
            </w:r>
          </w:p>
        </w:tc>
        <w:tc>
          <w:tcPr>
            <w:tcW w:w="1543" w:type="dxa"/>
            <w:tcBorders>
              <w:left w:val="single" w:sz="4" w:space="0" w:color="auto"/>
              <w:bottom w:val="single" w:sz="4" w:space="0" w:color="auto"/>
            </w:tcBorders>
          </w:tcPr>
          <w:p w14:paraId="1768A942" w14:textId="77777777" w:rsidR="00DF371E" w:rsidRDefault="00DF371E" w:rsidP="0027575F">
            <w:pPr>
              <w:pStyle w:val="NoSpacing"/>
              <w:jc w:val="right"/>
            </w:pPr>
          </w:p>
        </w:tc>
        <w:tc>
          <w:tcPr>
            <w:tcW w:w="1559" w:type="dxa"/>
            <w:tcBorders>
              <w:top w:val="nil"/>
              <w:left w:val="single" w:sz="4" w:space="0" w:color="000000"/>
              <w:bottom w:val="single" w:sz="4" w:space="0" w:color="auto"/>
              <w:right w:val="single" w:sz="4" w:space="0" w:color="000000"/>
            </w:tcBorders>
            <w:shd w:val="clear" w:color="auto" w:fill="auto"/>
            <w:vAlign w:val="bottom"/>
          </w:tcPr>
          <w:p w14:paraId="2532170E" w14:textId="77777777" w:rsidR="00DF371E" w:rsidRDefault="00DF371E" w:rsidP="0027575F">
            <w:pPr>
              <w:jc w:val="right"/>
              <w:rPr>
                <w:color w:val="000000"/>
              </w:rPr>
            </w:pPr>
          </w:p>
        </w:tc>
        <w:tc>
          <w:tcPr>
            <w:tcW w:w="1559" w:type="dxa"/>
            <w:tcBorders>
              <w:top w:val="nil"/>
              <w:left w:val="single" w:sz="4" w:space="0" w:color="000000"/>
              <w:bottom w:val="single" w:sz="4" w:space="0" w:color="auto"/>
              <w:right w:val="single" w:sz="4" w:space="0" w:color="000000"/>
            </w:tcBorders>
            <w:shd w:val="clear" w:color="auto" w:fill="auto"/>
            <w:vAlign w:val="center"/>
          </w:tcPr>
          <w:p w14:paraId="0DAB31E8" w14:textId="77777777" w:rsidR="00DF371E" w:rsidRDefault="00DF371E" w:rsidP="00DF371E">
            <w:pPr>
              <w:jc w:val="right"/>
              <w:rPr>
                <w:color w:val="000000"/>
              </w:rPr>
            </w:pPr>
          </w:p>
        </w:tc>
        <w:tc>
          <w:tcPr>
            <w:tcW w:w="1276" w:type="dxa"/>
            <w:tcBorders>
              <w:bottom w:val="single" w:sz="4" w:space="0" w:color="auto"/>
            </w:tcBorders>
          </w:tcPr>
          <w:p w14:paraId="7BA63F22" w14:textId="77777777" w:rsidR="00DF371E" w:rsidRPr="005F21EC" w:rsidRDefault="00DF371E" w:rsidP="00DF371E"/>
        </w:tc>
        <w:tc>
          <w:tcPr>
            <w:tcW w:w="2148" w:type="dxa"/>
          </w:tcPr>
          <w:p w14:paraId="33D101D9" w14:textId="77777777" w:rsidR="00DF371E" w:rsidRPr="00B64A59" w:rsidRDefault="00DF371E" w:rsidP="00DF371E">
            <w:pPr>
              <w:pStyle w:val="NoSpacing"/>
            </w:pPr>
          </w:p>
        </w:tc>
      </w:tr>
      <w:tr w:rsidR="00DF371E" w:rsidRPr="00E658B9" w14:paraId="601219B9" w14:textId="77777777" w:rsidTr="00DF371E">
        <w:trPr>
          <w:trHeight w:val="295"/>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72B1840D" w14:textId="77777777" w:rsidR="00DF371E" w:rsidRDefault="00DF371E" w:rsidP="00DF371E">
            <w:pPr>
              <w:pStyle w:val="NoSpacing"/>
            </w:pPr>
            <w:r w:rsidRPr="006C4B12">
              <w:t>Number of Facilities with Standard Client-Social Worker Ratio</w:t>
            </w:r>
          </w:p>
        </w:tc>
        <w:tc>
          <w:tcPr>
            <w:tcW w:w="1543" w:type="dxa"/>
            <w:tcBorders>
              <w:top w:val="single" w:sz="4" w:space="0" w:color="auto"/>
              <w:left w:val="single" w:sz="4" w:space="0" w:color="auto"/>
              <w:bottom w:val="single" w:sz="4" w:space="0" w:color="auto"/>
              <w:right w:val="single" w:sz="4" w:space="0" w:color="auto"/>
            </w:tcBorders>
          </w:tcPr>
          <w:p w14:paraId="1F23D073" w14:textId="77777777" w:rsidR="00DF371E" w:rsidRDefault="00DF371E" w:rsidP="0027575F">
            <w:pPr>
              <w:pStyle w:val="NoSpacing"/>
              <w:jc w:val="right"/>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C008AA5" w14:textId="77777777" w:rsidR="00DF371E" w:rsidRDefault="00DF371E" w:rsidP="0027575F">
            <w:pPr>
              <w:jc w:val="right"/>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D39EA0" w14:textId="77777777" w:rsidR="00DF371E" w:rsidRDefault="00DF371E" w:rsidP="00DF371E">
            <w:pPr>
              <w:jc w:val="right"/>
              <w:rPr>
                <w:color w:val="000000"/>
              </w:rPr>
            </w:pPr>
          </w:p>
        </w:tc>
        <w:tc>
          <w:tcPr>
            <w:tcW w:w="1276" w:type="dxa"/>
            <w:tcBorders>
              <w:top w:val="single" w:sz="4" w:space="0" w:color="auto"/>
              <w:left w:val="single" w:sz="4" w:space="0" w:color="auto"/>
              <w:bottom w:val="single" w:sz="4" w:space="0" w:color="auto"/>
            </w:tcBorders>
          </w:tcPr>
          <w:p w14:paraId="0079534B" w14:textId="77777777" w:rsidR="00DF371E" w:rsidRPr="005F21EC" w:rsidRDefault="00DF371E" w:rsidP="00DF371E"/>
        </w:tc>
        <w:tc>
          <w:tcPr>
            <w:tcW w:w="2148" w:type="dxa"/>
          </w:tcPr>
          <w:p w14:paraId="497D1EC4" w14:textId="77777777" w:rsidR="00DF371E" w:rsidRPr="00B64A59" w:rsidRDefault="00DF371E" w:rsidP="00DF371E">
            <w:pPr>
              <w:pStyle w:val="NoSpacing"/>
            </w:pPr>
          </w:p>
        </w:tc>
      </w:tr>
      <w:tr w:rsidR="0027575F" w:rsidRPr="00B64A59" w14:paraId="4E6E0AB2" w14:textId="77777777" w:rsidTr="007774F0">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3171AF51" w14:textId="77777777" w:rsidR="0027575F" w:rsidRDefault="0027575F" w:rsidP="0027575F">
            <w:pPr>
              <w:pStyle w:val="NoSpacing"/>
            </w:pPr>
            <w:r>
              <w:t xml:space="preserve">RSCC </w:t>
            </w:r>
          </w:p>
        </w:tc>
        <w:tc>
          <w:tcPr>
            <w:tcW w:w="1543" w:type="dxa"/>
            <w:tcBorders>
              <w:left w:val="single" w:sz="4" w:space="0" w:color="auto"/>
              <w:bottom w:val="single" w:sz="4" w:space="0" w:color="auto"/>
            </w:tcBorders>
          </w:tcPr>
          <w:p w14:paraId="715F797C" w14:textId="77777777" w:rsidR="0027575F" w:rsidRDefault="0027575F" w:rsidP="0027575F">
            <w:pPr>
              <w:pStyle w:val="NoSpacing"/>
              <w:jc w:val="right"/>
            </w:pPr>
            <w:r>
              <w:t>1:10</w:t>
            </w:r>
          </w:p>
        </w:tc>
        <w:tc>
          <w:tcPr>
            <w:tcW w:w="1559" w:type="dxa"/>
            <w:tcBorders>
              <w:top w:val="nil"/>
              <w:left w:val="single" w:sz="4" w:space="0" w:color="000000"/>
              <w:bottom w:val="single" w:sz="4" w:space="0" w:color="auto"/>
              <w:right w:val="single" w:sz="4" w:space="0" w:color="000000"/>
            </w:tcBorders>
            <w:shd w:val="clear" w:color="auto" w:fill="auto"/>
            <w:vAlign w:val="bottom"/>
          </w:tcPr>
          <w:p w14:paraId="76C479B0" w14:textId="77777777" w:rsidR="0027575F" w:rsidRDefault="0027575F" w:rsidP="0027575F">
            <w:pPr>
              <w:jc w:val="right"/>
              <w:rPr>
                <w:color w:val="000000"/>
              </w:rPr>
            </w:pPr>
            <w:r>
              <w:rPr>
                <w:color w:val="000000"/>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7D47A7" w14:textId="77777777" w:rsidR="0027575F" w:rsidRDefault="0027575F" w:rsidP="0027575F">
            <w:pPr>
              <w:rPr>
                <w:color w:val="000000"/>
              </w:rPr>
            </w:pPr>
            <w:r>
              <w:rPr>
                <w:color w:val="000000"/>
              </w:rPr>
              <w:t>0</w:t>
            </w:r>
          </w:p>
        </w:tc>
        <w:tc>
          <w:tcPr>
            <w:tcW w:w="1276" w:type="dxa"/>
            <w:tcBorders>
              <w:top w:val="single" w:sz="4" w:space="0" w:color="auto"/>
              <w:left w:val="single" w:sz="4" w:space="0" w:color="auto"/>
              <w:bottom w:val="single" w:sz="4" w:space="0" w:color="auto"/>
            </w:tcBorders>
          </w:tcPr>
          <w:p w14:paraId="6332AF1A" w14:textId="77777777" w:rsidR="0027575F" w:rsidRDefault="0027575F" w:rsidP="0027575F">
            <w:r w:rsidRPr="00DE63B5">
              <w:t>Full Target Achieved</w:t>
            </w:r>
          </w:p>
        </w:tc>
        <w:tc>
          <w:tcPr>
            <w:tcW w:w="2148" w:type="dxa"/>
          </w:tcPr>
          <w:p w14:paraId="2A7465B1" w14:textId="77777777" w:rsidR="0027575F" w:rsidRPr="00B64A59" w:rsidRDefault="0027575F" w:rsidP="0027575F">
            <w:pPr>
              <w:pStyle w:val="NoSpacing"/>
            </w:pPr>
          </w:p>
        </w:tc>
      </w:tr>
      <w:tr w:rsidR="00984C6B" w:rsidRPr="00B64A59" w14:paraId="659E7157" w14:textId="77777777" w:rsidTr="007774F0">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6E9D2EDF" w14:textId="77777777" w:rsidR="00984C6B" w:rsidRDefault="00984C6B" w:rsidP="00984C6B">
            <w:pPr>
              <w:pStyle w:val="NoSpacing"/>
            </w:pPr>
            <w:r>
              <w:t xml:space="preserve">CVRRCY </w:t>
            </w:r>
          </w:p>
        </w:tc>
        <w:tc>
          <w:tcPr>
            <w:tcW w:w="1543" w:type="dxa"/>
            <w:tcBorders>
              <w:top w:val="single" w:sz="4" w:space="0" w:color="auto"/>
              <w:left w:val="single" w:sz="4" w:space="0" w:color="auto"/>
              <w:bottom w:val="single" w:sz="4" w:space="0" w:color="auto"/>
              <w:right w:val="single" w:sz="4" w:space="0" w:color="auto"/>
            </w:tcBorders>
          </w:tcPr>
          <w:p w14:paraId="1F1C038B" w14:textId="77777777" w:rsidR="00984C6B" w:rsidRDefault="00984C6B" w:rsidP="00984C6B">
            <w:pPr>
              <w:pStyle w:val="NoSpacing"/>
              <w:jc w:val="right"/>
            </w:pPr>
            <w:r>
              <w:t>1:8:11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0C0BFF2" w14:textId="77777777" w:rsidR="00984C6B" w:rsidRDefault="00984C6B" w:rsidP="00984C6B">
            <w:pPr>
              <w:jc w:val="right"/>
              <w:rPr>
                <w:color w:val="000000"/>
              </w:rPr>
            </w:pPr>
            <w:r>
              <w:rPr>
                <w:color w:val="000000"/>
              </w:rPr>
              <w:t>1:17</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D904F3A" w14:textId="77777777" w:rsidR="00984C6B" w:rsidRDefault="00984C6B" w:rsidP="00984C6B">
            <w:r>
              <w:t>-6</w:t>
            </w:r>
          </w:p>
        </w:tc>
        <w:tc>
          <w:tcPr>
            <w:tcW w:w="1276" w:type="dxa"/>
            <w:tcBorders>
              <w:top w:val="single" w:sz="4" w:space="0" w:color="auto"/>
              <w:bottom w:val="single" w:sz="4" w:space="0" w:color="auto"/>
            </w:tcBorders>
          </w:tcPr>
          <w:p w14:paraId="343C3345" w14:textId="77777777" w:rsidR="00984C6B" w:rsidRDefault="00984C6B" w:rsidP="00984C6B">
            <w:r>
              <w:t>Minor Deviation</w:t>
            </w:r>
          </w:p>
        </w:tc>
        <w:tc>
          <w:tcPr>
            <w:tcW w:w="2148" w:type="dxa"/>
            <w:tcBorders>
              <w:bottom w:val="single" w:sz="4" w:space="0" w:color="auto"/>
            </w:tcBorders>
          </w:tcPr>
          <w:p w14:paraId="0487B7AF" w14:textId="77777777" w:rsidR="00984C6B" w:rsidRPr="00B64A59" w:rsidRDefault="00984C6B" w:rsidP="00984C6B">
            <w:pPr>
              <w:pStyle w:val="NoSpacing"/>
            </w:pPr>
            <w:r>
              <w:t>Due to</w:t>
            </w:r>
            <w:r w:rsidR="000A0811">
              <w:t xml:space="preserve"> vacancy made by the </w:t>
            </w:r>
            <w:r>
              <w:t xml:space="preserve"> resignation of SWO II</w:t>
            </w:r>
          </w:p>
        </w:tc>
      </w:tr>
      <w:tr w:rsidR="00984C6B" w:rsidRPr="00B64A59" w14:paraId="09227BF1"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0A6EFC5D" w14:textId="77777777" w:rsidR="00984C6B" w:rsidRDefault="00984C6B" w:rsidP="00984C6B">
            <w:pPr>
              <w:pStyle w:val="NoSpacing"/>
            </w:pPr>
            <w:r>
              <w:t xml:space="preserve">RHWG </w:t>
            </w:r>
          </w:p>
        </w:tc>
        <w:tc>
          <w:tcPr>
            <w:tcW w:w="1543" w:type="dxa"/>
            <w:tcBorders>
              <w:top w:val="single" w:sz="4" w:space="0" w:color="auto"/>
              <w:left w:val="single" w:sz="4" w:space="0" w:color="auto"/>
              <w:bottom w:val="single" w:sz="4" w:space="0" w:color="auto"/>
              <w:right w:val="single" w:sz="4" w:space="0" w:color="auto"/>
            </w:tcBorders>
          </w:tcPr>
          <w:p w14:paraId="5ED42286" w14:textId="77777777" w:rsidR="00984C6B" w:rsidRDefault="00984C6B" w:rsidP="00984C6B">
            <w:pPr>
              <w:pStyle w:val="NoSpacing"/>
              <w:jc w:val="right"/>
            </w:pPr>
            <w:r>
              <w:t>1:,9,10,11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3D4500" w14:textId="77777777" w:rsidR="00984C6B" w:rsidRDefault="00984C6B" w:rsidP="00984C6B">
            <w:pPr>
              <w:jc w:val="right"/>
              <w:rPr>
                <w:color w:val="000000"/>
              </w:rPr>
            </w:pPr>
            <w:r>
              <w:rPr>
                <w:color w:val="000000"/>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8CCE11" w14:textId="77777777" w:rsidR="00984C6B" w:rsidRDefault="00984C6B" w:rsidP="00984C6B">
            <w: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CA3D70" w14:textId="77777777" w:rsidR="00984C6B" w:rsidRDefault="00984C6B" w:rsidP="00984C6B">
            <w:r>
              <w:t>Minor Deviation</w:t>
            </w:r>
          </w:p>
        </w:tc>
        <w:tc>
          <w:tcPr>
            <w:tcW w:w="2148" w:type="dxa"/>
            <w:tcBorders>
              <w:top w:val="single" w:sz="4" w:space="0" w:color="auto"/>
              <w:left w:val="single" w:sz="4" w:space="0" w:color="auto"/>
              <w:bottom w:val="single" w:sz="4" w:space="0" w:color="auto"/>
            </w:tcBorders>
          </w:tcPr>
          <w:p w14:paraId="55A3D4AB" w14:textId="77777777" w:rsidR="00984C6B" w:rsidRPr="00B64A59" w:rsidRDefault="00984C6B" w:rsidP="00984C6B">
            <w:pPr>
              <w:pStyle w:val="NoSpacing"/>
            </w:pPr>
            <w:r>
              <w:t xml:space="preserve">Due to </w:t>
            </w:r>
            <w:r w:rsidR="000A0811">
              <w:t xml:space="preserve">vacancy made by the </w:t>
            </w:r>
            <w:r>
              <w:t>resignation of SWO II</w:t>
            </w:r>
          </w:p>
        </w:tc>
      </w:tr>
      <w:tr w:rsidR="00DF371E" w:rsidRPr="00B64A59" w14:paraId="34FC2FAA"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0AF97B89" w14:textId="77777777" w:rsidR="00DF371E" w:rsidRDefault="00DF371E" w:rsidP="00DF371E">
            <w:pPr>
              <w:pStyle w:val="NoSpacing"/>
            </w:pPr>
            <w:r w:rsidRPr="00245802">
              <w:t>Number of Facilities with Standard Client-Houseparent Ratio</w:t>
            </w:r>
          </w:p>
        </w:tc>
        <w:tc>
          <w:tcPr>
            <w:tcW w:w="1543" w:type="dxa"/>
            <w:tcBorders>
              <w:top w:val="single" w:sz="4" w:space="0" w:color="auto"/>
              <w:left w:val="single" w:sz="4" w:space="0" w:color="auto"/>
            </w:tcBorders>
          </w:tcPr>
          <w:p w14:paraId="2004E5FA" w14:textId="77777777" w:rsidR="00DF371E" w:rsidRDefault="00DF371E" w:rsidP="00DF371E">
            <w:pPr>
              <w:pStyle w:val="NoSpacing"/>
              <w:jc w:val="cente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76F76BED" w14:textId="77777777" w:rsidR="00DF371E" w:rsidRDefault="00DF371E" w:rsidP="00DF371E">
            <w:pPr>
              <w:jc w:val="center"/>
              <w:rPr>
                <w:color w:val="000000"/>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0CF46793" w14:textId="77777777" w:rsidR="00DF371E" w:rsidRPr="00245802" w:rsidRDefault="00DF371E" w:rsidP="00DF371E">
            <w:pPr>
              <w:rPr>
                <w:color w:val="000000"/>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17362B47" w14:textId="77777777" w:rsidR="00DF371E" w:rsidRPr="00245802" w:rsidRDefault="00DF371E" w:rsidP="00DF371E">
            <w:pPr>
              <w:rPr>
                <w:color w:val="000000"/>
              </w:rPr>
            </w:pPr>
          </w:p>
        </w:tc>
        <w:tc>
          <w:tcPr>
            <w:tcW w:w="2148" w:type="dxa"/>
            <w:tcBorders>
              <w:top w:val="single" w:sz="4" w:space="0" w:color="auto"/>
            </w:tcBorders>
          </w:tcPr>
          <w:p w14:paraId="1426F11A" w14:textId="77777777" w:rsidR="00DF371E" w:rsidRPr="00B64A59" w:rsidRDefault="00DF371E" w:rsidP="00DF371E">
            <w:pPr>
              <w:pStyle w:val="NoSpacing"/>
            </w:pPr>
          </w:p>
        </w:tc>
      </w:tr>
      <w:tr w:rsidR="0027575F" w:rsidRPr="00B64A59" w14:paraId="68E18E2C" w14:textId="77777777" w:rsidTr="007774F0">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49BD4F98" w14:textId="77777777" w:rsidR="0027575F" w:rsidRDefault="0027575F" w:rsidP="0027575F">
            <w:pPr>
              <w:pStyle w:val="NoSpacing"/>
            </w:pPr>
            <w:r>
              <w:t xml:space="preserve">RSCC </w:t>
            </w:r>
          </w:p>
        </w:tc>
        <w:tc>
          <w:tcPr>
            <w:tcW w:w="1543" w:type="dxa"/>
            <w:tcBorders>
              <w:top w:val="single" w:sz="4" w:space="0" w:color="auto"/>
              <w:left w:val="single" w:sz="4" w:space="0" w:color="auto"/>
              <w:bottom w:val="single" w:sz="4" w:space="0" w:color="auto"/>
              <w:right w:val="single" w:sz="4" w:space="0" w:color="auto"/>
            </w:tcBorders>
          </w:tcPr>
          <w:p w14:paraId="7EA354F4" w14:textId="77777777" w:rsidR="0027575F" w:rsidRDefault="0027575F" w:rsidP="0027575F">
            <w:pPr>
              <w:pStyle w:val="NoSpacing"/>
              <w:jc w:val="center"/>
            </w:pPr>
            <w:r>
              <w:t>1:10</w:t>
            </w:r>
          </w:p>
        </w:tc>
        <w:tc>
          <w:tcPr>
            <w:tcW w:w="1559" w:type="dxa"/>
            <w:tcBorders>
              <w:top w:val="nil"/>
              <w:left w:val="single" w:sz="4" w:space="0" w:color="000000"/>
              <w:bottom w:val="single" w:sz="4" w:space="0" w:color="000000"/>
              <w:right w:val="single" w:sz="4" w:space="0" w:color="000000"/>
            </w:tcBorders>
            <w:shd w:val="clear" w:color="auto" w:fill="auto"/>
          </w:tcPr>
          <w:p w14:paraId="5AFF1391" w14:textId="77777777" w:rsidR="0027575F" w:rsidRDefault="0027575F" w:rsidP="0027575F">
            <w:pPr>
              <w:jc w:val="center"/>
              <w:rPr>
                <w:color w:val="000000"/>
              </w:rPr>
            </w:pPr>
            <w:r>
              <w:rPr>
                <w:color w:val="000000"/>
              </w:rPr>
              <w:t>1:10</w:t>
            </w:r>
          </w:p>
        </w:tc>
        <w:tc>
          <w:tcPr>
            <w:tcW w:w="1559" w:type="dxa"/>
            <w:tcBorders>
              <w:top w:val="nil"/>
              <w:left w:val="single" w:sz="4" w:space="0" w:color="000000"/>
              <w:bottom w:val="single" w:sz="4" w:space="0" w:color="000000"/>
              <w:right w:val="single" w:sz="4" w:space="0" w:color="000000"/>
            </w:tcBorders>
            <w:shd w:val="clear" w:color="auto" w:fill="auto"/>
            <w:vAlign w:val="center"/>
          </w:tcPr>
          <w:p w14:paraId="069E967E" w14:textId="77777777" w:rsidR="0027575F" w:rsidRPr="00245802" w:rsidRDefault="0027575F" w:rsidP="0027575F">
            <w:pPr>
              <w:rPr>
                <w:color w:val="000000"/>
              </w:rPr>
            </w:pPr>
            <w:r>
              <w:rPr>
                <w:color w:val="000000"/>
              </w:rPr>
              <w:t>0</w:t>
            </w:r>
          </w:p>
        </w:tc>
        <w:tc>
          <w:tcPr>
            <w:tcW w:w="1276" w:type="dxa"/>
            <w:tcBorders>
              <w:top w:val="nil"/>
              <w:left w:val="single" w:sz="4" w:space="0" w:color="000000"/>
              <w:bottom w:val="single" w:sz="4" w:space="0" w:color="000000"/>
              <w:right w:val="single" w:sz="4" w:space="0" w:color="000000"/>
            </w:tcBorders>
            <w:shd w:val="clear" w:color="auto" w:fill="auto"/>
          </w:tcPr>
          <w:p w14:paraId="0D001A12" w14:textId="77777777" w:rsidR="0027575F" w:rsidRDefault="0027575F" w:rsidP="0027575F">
            <w:r w:rsidRPr="00E8605F">
              <w:t>Full Target Achieved</w:t>
            </w:r>
          </w:p>
        </w:tc>
        <w:tc>
          <w:tcPr>
            <w:tcW w:w="2148" w:type="dxa"/>
          </w:tcPr>
          <w:p w14:paraId="57F4E427" w14:textId="77777777" w:rsidR="0027575F" w:rsidRPr="00B64A59" w:rsidRDefault="0027575F" w:rsidP="0027575F">
            <w:pPr>
              <w:pStyle w:val="NoSpacing"/>
            </w:pPr>
          </w:p>
        </w:tc>
      </w:tr>
      <w:tr w:rsidR="0027575F" w:rsidRPr="00B64A59" w14:paraId="55776A56"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30181E4E" w14:textId="77777777" w:rsidR="0027575F" w:rsidRDefault="0027575F" w:rsidP="0027575F">
            <w:pPr>
              <w:pStyle w:val="NoSpacing"/>
            </w:pPr>
            <w:r>
              <w:t xml:space="preserve">CVRRCY </w:t>
            </w:r>
          </w:p>
        </w:tc>
        <w:tc>
          <w:tcPr>
            <w:tcW w:w="1543" w:type="dxa"/>
            <w:tcBorders>
              <w:top w:val="single" w:sz="4" w:space="0" w:color="auto"/>
              <w:left w:val="single" w:sz="4" w:space="0" w:color="auto"/>
            </w:tcBorders>
          </w:tcPr>
          <w:p w14:paraId="284F5487" w14:textId="77777777" w:rsidR="0027575F" w:rsidRDefault="0027575F" w:rsidP="0027575F">
            <w:pPr>
              <w:pStyle w:val="NoSpacing"/>
              <w:jc w:val="center"/>
            </w:pPr>
            <w:r>
              <w:t>1:11</w:t>
            </w:r>
          </w:p>
        </w:tc>
        <w:tc>
          <w:tcPr>
            <w:tcW w:w="1559" w:type="dxa"/>
            <w:tcBorders>
              <w:top w:val="nil"/>
              <w:left w:val="single" w:sz="4" w:space="0" w:color="000000"/>
              <w:bottom w:val="single" w:sz="4" w:space="0" w:color="000000"/>
              <w:right w:val="single" w:sz="4" w:space="0" w:color="000000"/>
            </w:tcBorders>
            <w:shd w:val="clear" w:color="auto" w:fill="auto"/>
          </w:tcPr>
          <w:p w14:paraId="066A8FBF" w14:textId="77777777" w:rsidR="0027575F" w:rsidRDefault="00984C6B" w:rsidP="0027575F">
            <w:pPr>
              <w:jc w:val="center"/>
              <w:rPr>
                <w:color w:val="000000"/>
              </w:rPr>
            </w:pPr>
            <w:r>
              <w:rPr>
                <w:color w:val="000000"/>
              </w:rPr>
              <w:t>1:17</w:t>
            </w:r>
          </w:p>
        </w:tc>
        <w:tc>
          <w:tcPr>
            <w:tcW w:w="1559" w:type="dxa"/>
            <w:tcBorders>
              <w:top w:val="nil"/>
              <w:left w:val="single" w:sz="4" w:space="0" w:color="000000"/>
              <w:bottom w:val="single" w:sz="4" w:space="0" w:color="000000"/>
              <w:right w:val="single" w:sz="4" w:space="0" w:color="000000"/>
            </w:tcBorders>
            <w:shd w:val="clear" w:color="auto" w:fill="auto"/>
          </w:tcPr>
          <w:p w14:paraId="4119378D" w14:textId="77777777" w:rsidR="0027575F" w:rsidRDefault="00984C6B" w:rsidP="0027575F">
            <w:r>
              <w:t>-</w:t>
            </w:r>
            <w:r w:rsidR="0027575F">
              <w:t>7</w:t>
            </w:r>
          </w:p>
        </w:tc>
        <w:tc>
          <w:tcPr>
            <w:tcW w:w="1276" w:type="dxa"/>
            <w:tcBorders>
              <w:top w:val="nil"/>
              <w:left w:val="single" w:sz="4" w:space="0" w:color="000000"/>
              <w:bottom w:val="single" w:sz="4" w:space="0" w:color="000000"/>
              <w:right w:val="single" w:sz="4" w:space="0" w:color="000000"/>
            </w:tcBorders>
            <w:shd w:val="clear" w:color="auto" w:fill="auto"/>
          </w:tcPr>
          <w:p w14:paraId="7F74F9A8" w14:textId="77777777" w:rsidR="0027575F" w:rsidRDefault="00984C6B" w:rsidP="00984C6B">
            <w:r>
              <w:t>Minor Deviation</w:t>
            </w:r>
          </w:p>
        </w:tc>
        <w:tc>
          <w:tcPr>
            <w:tcW w:w="2148" w:type="dxa"/>
          </w:tcPr>
          <w:p w14:paraId="459A8F47" w14:textId="77777777" w:rsidR="0027575F" w:rsidRPr="00B64A59" w:rsidRDefault="0027575F" w:rsidP="0027575F">
            <w:pPr>
              <w:pStyle w:val="NoSpacing"/>
            </w:pPr>
          </w:p>
        </w:tc>
      </w:tr>
      <w:tr w:rsidR="00DF371E" w:rsidRPr="00B64A59" w14:paraId="5A59AB27"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61375363" w14:textId="77777777" w:rsidR="00DF371E" w:rsidRDefault="00DF371E" w:rsidP="00DF371E">
            <w:pPr>
              <w:pStyle w:val="NoSpacing"/>
            </w:pPr>
            <w:r>
              <w:t xml:space="preserve">RHWG </w:t>
            </w:r>
          </w:p>
        </w:tc>
        <w:tc>
          <w:tcPr>
            <w:tcW w:w="1543" w:type="dxa"/>
            <w:tcBorders>
              <w:left w:val="single" w:sz="4" w:space="0" w:color="auto"/>
              <w:bottom w:val="single" w:sz="4" w:space="0" w:color="auto"/>
            </w:tcBorders>
          </w:tcPr>
          <w:p w14:paraId="2286D741" w14:textId="77777777" w:rsidR="00DF371E" w:rsidRDefault="0027575F" w:rsidP="00DF371E">
            <w:pPr>
              <w:pStyle w:val="NoSpacing"/>
              <w:jc w:val="center"/>
            </w:pPr>
            <w:r>
              <w:t>1:20</w:t>
            </w:r>
          </w:p>
        </w:tc>
        <w:tc>
          <w:tcPr>
            <w:tcW w:w="1559" w:type="dxa"/>
            <w:tcBorders>
              <w:top w:val="nil"/>
              <w:left w:val="single" w:sz="4" w:space="0" w:color="000000"/>
              <w:bottom w:val="single" w:sz="4" w:space="0" w:color="auto"/>
              <w:right w:val="single" w:sz="4" w:space="0" w:color="000000"/>
            </w:tcBorders>
            <w:shd w:val="clear" w:color="auto" w:fill="auto"/>
          </w:tcPr>
          <w:p w14:paraId="29FCADBC" w14:textId="77777777" w:rsidR="00DF371E" w:rsidRDefault="0027575F" w:rsidP="00DF371E">
            <w:pPr>
              <w:jc w:val="center"/>
              <w:rPr>
                <w:color w:val="000000"/>
              </w:rPr>
            </w:pPr>
            <w:r>
              <w:rPr>
                <w:color w:val="000000"/>
              </w:rPr>
              <w:t>1:17</w:t>
            </w:r>
          </w:p>
        </w:tc>
        <w:tc>
          <w:tcPr>
            <w:tcW w:w="1559" w:type="dxa"/>
            <w:tcBorders>
              <w:top w:val="nil"/>
              <w:left w:val="single" w:sz="4" w:space="0" w:color="000000"/>
              <w:bottom w:val="single" w:sz="4" w:space="0" w:color="auto"/>
              <w:right w:val="single" w:sz="4" w:space="0" w:color="000000"/>
            </w:tcBorders>
            <w:shd w:val="clear" w:color="auto" w:fill="auto"/>
          </w:tcPr>
          <w:p w14:paraId="5DA1C5F5" w14:textId="77777777" w:rsidR="00DF371E" w:rsidRDefault="0027575F" w:rsidP="00DF371E">
            <w:r>
              <w:t>-3</w:t>
            </w:r>
          </w:p>
        </w:tc>
        <w:tc>
          <w:tcPr>
            <w:tcW w:w="1276" w:type="dxa"/>
            <w:tcBorders>
              <w:top w:val="nil"/>
              <w:left w:val="single" w:sz="4" w:space="0" w:color="000000"/>
              <w:bottom w:val="single" w:sz="4" w:space="0" w:color="auto"/>
              <w:right w:val="single" w:sz="4" w:space="0" w:color="000000"/>
            </w:tcBorders>
            <w:shd w:val="clear" w:color="auto" w:fill="auto"/>
          </w:tcPr>
          <w:p w14:paraId="22343ED8" w14:textId="77777777" w:rsidR="00DF371E" w:rsidRDefault="0027575F" w:rsidP="00DF371E">
            <w:r>
              <w:t>Minor Deviation</w:t>
            </w:r>
          </w:p>
        </w:tc>
        <w:tc>
          <w:tcPr>
            <w:tcW w:w="2148" w:type="dxa"/>
            <w:tcBorders>
              <w:bottom w:val="single" w:sz="4" w:space="0" w:color="auto"/>
            </w:tcBorders>
          </w:tcPr>
          <w:p w14:paraId="495B9B17" w14:textId="266B3818" w:rsidR="00DF371E" w:rsidRPr="005164F2" w:rsidRDefault="00984C6B" w:rsidP="005164F2">
            <w:pPr>
              <w:pStyle w:val="NoSpacing"/>
              <w:jc w:val="both"/>
            </w:pPr>
            <w:r w:rsidRPr="005164F2">
              <w:rPr>
                <w:color w:val="000000"/>
                <w:shd w:val="clear" w:color="auto" w:fill="FFFFFF"/>
              </w:rPr>
              <w:t>The nee</w:t>
            </w:r>
            <w:r w:rsidR="00413F89">
              <w:rPr>
                <w:color w:val="000000"/>
                <w:shd w:val="clear" w:color="auto" w:fill="FFFFFF"/>
              </w:rPr>
              <w:t>d for additional 2 Houseparents</w:t>
            </w:r>
            <w:r w:rsidRPr="005164F2">
              <w:rPr>
                <w:color w:val="000000"/>
                <w:shd w:val="clear" w:color="auto" w:fill="FFFFFF"/>
              </w:rPr>
              <w:t xml:space="preserve"> to comply with the standard ratio. </w:t>
            </w:r>
            <w:r w:rsidR="00181C76">
              <w:rPr>
                <w:color w:val="000000"/>
                <w:shd w:val="clear" w:color="auto" w:fill="FFFFFF"/>
              </w:rPr>
              <w:t>The center s</w:t>
            </w:r>
            <w:r w:rsidRPr="005164F2">
              <w:rPr>
                <w:color w:val="000000"/>
                <w:shd w:val="clear" w:color="auto" w:fill="FFFFFF"/>
              </w:rPr>
              <w:t xml:space="preserve">ubmitted </w:t>
            </w:r>
            <w:r w:rsidR="00181C76">
              <w:rPr>
                <w:color w:val="000000"/>
                <w:shd w:val="clear" w:color="auto" w:fill="FFFFFF"/>
              </w:rPr>
              <w:t xml:space="preserve">a </w:t>
            </w:r>
            <w:r w:rsidRPr="005164F2">
              <w:rPr>
                <w:color w:val="000000"/>
                <w:shd w:val="clear" w:color="auto" w:fill="FFFFFF"/>
              </w:rPr>
              <w:t>Project Proposal for 2 additiona</w:t>
            </w:r>
            <w:r w:rsidR="005164F2">
              <w:rPr>
                <w:color w:val="000000"/>
                <w:shd w:val="clear" w:color="auto" w:fill="FFFFFF"/>
              </w:rPr>
              <w:t>l HPs</w:t>
            </w:r>
            <w:r w:rsidR="00460F3C">
              <w:rPr>
                <w:color w:val="000000"/>
                <w:shd w:val="clear" w:color="auto" w:fill="FFFFFF"/>
              </w:rPr>
              <w:t xml:space="preserve"> and the office </w:t>
            </w:r>
            <w:r w:rsidR="00413F89">
              <w:rPr>
                <w:color w:val="000000"/>
                <w:shd w:val="clear" w:color="auto" w:fill="FFFFFF"/>
              </w:rPr>
              <w:t>is awaiting</w:t>
            </w:r>
            <w:r w:rsidR="005164F2">
              <w:rPr>
                <w:color w:val="000000"/>
                <w:shd w:val="clear" w:color="auto" w:fill="FFFFFF"/>
              </w:rPr>
              <w:t xml:space="preserve"> its approval. </w:t>
            </w:r>
          </w:p>
        </w:tc>
      </w:tr>
      <w:tr w:rsidR="00DF371E" w:rsidRPr="00B64A59" w14:paraId="72A76BD7" w14:textId="77777777" w:rsidTr="0068148D">
        <w:trPr>
          <w:trHeight w:val="189"/>
        </w:trPr>
        <w:tc>
          <w:tcPr>
            <w:tcW w:w="10365" w:type="dxa"/>
            <w:gridSpan w:val="6"/>
            <w:tcBorders>
              <w:top w:val="single" w:sz="4" w:space="0" w:color="auto"/>
              <w:left w:val="single" w:sz="4" w:space="0" w:color="auto"/>
              <w:bottom w:val="single" w:sz="4" w:space="0" w:color="auto"/>
            </w:tcBorders>
            <w:shd w:val="clear" w:color="auto" w:fill="DEEAF6" w:themeFill="accent1" w:themeFillTint="33"/>
            <w:vAlign w:val="bottom"/>
          </w:tcPr>
          <w:p w14:paraId="3D07E34A" w14:textId="77777777" w:rsidR="00DF371E" w:rsidRPr="00B64A59" w:rsidRDefault="00DF371E" w:rsidP="00DF371E">
            <w:pPr>
              <w:pStyle w:val="NoSpacing"/>
            </w:pPr>
            <w:r w:rsidRPr="00BF0533">
              <w:rPr>
                <w:b/>
              </w:rPr>
              <w:t>Supplementary Feeding Program</w:t>
            </w:r>
          </w:p>
        </w:tc>
      </w:tr>
      <w:tr w:rsidR="00DF371E" w:rsidRPr="00B64A59" w14:paraId="50F23055"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1BE10EC5" w14:textId="77777777" w:rsidR="00DF371E" w:rsidRDefault="00DF371E" w:rsidP="00DF371E">
            <w:pPr>
              <w:rPr>
                <w:color w:val="000000"/>
              </w:rPr>
            </w:pPr>
            <w:r>
              <w:rPr>
                <w:color w:val="000000"/>
              </w:rPr>
              <w:t xml:space="preserve">2.6. </w:t>
            </w:r>
            <w:r w:rsidRPr="00A858D4">
              <w:rPr>
                <w:color w:val="000000"/>
              </w:rPr>
              <w:t>Number of children in CDCs and SNPs provided with supplementary feeding (11th Cycle)</w:t>
            </w:r>
          </w:p>
        </w:tc>
        <w:tc>
          <w:tcPr>
            <w:tcW w:w="1543" w:type="dxa"/>
            <w:tcBorders>
              <w:left w:val="single" w:sz="4" w:space="0" w:color="auto"/>
            </w:tcBorders>
          </w:tcPr>
          <w:p w14:paraId="24005231" w14:textId="77777777" w:rsidR="00DF371E" w:rsidRDefault="0027575F" w:rsidP="00DF371E">
            <w:pPr>
              <w:pStyle w:val="NoSpacing"/>
              <w:jc w:val="center"/>
            </w:pPr>
            <w:r>
              <w:t>91,712</w:t>
            </w:r>
          </w:p>
        </w:tc>
        <w:tc>
          <w:tcPr>
            <w:tcW w:w="1559" w:type="dxa"/>
          </w:tcPr>
          <w:p w14:paraId="3B5DE53D" w14:textId="77777777" w:rsidR="00DF371E" w:rsidRDefault="0027575F" w:rsidP="00DF371E">
            <w:pPr>
              <w:pStyle w:val="NoSpacing"/>
              <w:jc w:val="right"/>
            </w:pPr>
            <w:r>
              <w:t>95,756</w:t>
            </w:r>
          </w:p>
        </w:tc>
        <w:tc>
          <w:tcPr>
            <w:tcW w:w="1559" w:type="dxa"/>
          </w:tcPr>
          <w:p w14:paraId="1C301AEC" w14:textId="77777777" w:rsidR="00DF371E" w:rsidRPr="005164F2" w:rsidRDefault="005164F2" w:rsidP="005164F2">
            <w:pPr>
              <w:pStyle w:val="NoSpacing"/>
            </w:pPr>
            <w:r w:rsidRPr="005164F2">
              <w:t>+4</w:t>
            </w:r>
            <w:r>
              <w:t>,</w:t>
            </w:r>
            <w:r w:rsidRPr="005164F2">
              <w:t>044</w:t>
            </w:r>
          </w:p>
        </w:tc>
        <w:tc>
          <w:tcPr>
            <w:tcW w:w="1276" w:type="dxa"/>
          </w:tcPr>
          <w:p w14:paraId="7C858754" w14:textId="77777777" w:rsidR="00DF371E" w:rsidRPr="00B64A59" w:rsidRDefault="0027575F" w:rsidP="00DF371E">
            <w:pPr>
              <w:pStyle w:val="NoSpacing"/>
            </w:pPr>
            <w:r>
              <w:t xml:space="preserve">Full Target Achieved </w:t>
            </w:r>
          </w:p>
        </w:tc>
        <w:tc>
          <w:tcPr>
            <w:tcW w:w="2148" w:type="dxa"/>
          </w:tcPr>
          <w:p w14:paraId="29A5992E" w14:textId="77777777" w:rsidR="00DF371E" w:rsidRPr="0027575F" w:rsidRDefault="0027575F" w:rsidP="005164F2">
            <w:pPr>
              <w:pStyle w:val="NoSpacing"/>
            </w:pPr>
            <w:r w:rsidRPr="0027575F">
              <w:rPr>
                <w:color w:val="000000"/>
                <w:shd w:val="clear" w:color="auto" w:fill="FFFFFF"/>
              </w:rPr>
              <w:t xml:space="preserve">Increase of children </w:t>
            </w:r>
            <w:r>
              <w:rPr>
                <w:color w:val="000000"/>
                <w:shd w:val="clear" w:color="auto" w:fill="FFFFFF"/>
              </w:rPr>
              <w:t>beneficiaries</w:t>
            </w:r>
            <w:r w:rsidRPr="0027575F">
              <w:rPr>
                <w:color w:val="000000"/>
                <w:shd w:val="clear" w:color="auto" w:fill="FFFFFF"/>
              </w:rPr>
              <w:t xml:space="preserve"> due to</w:t>
            </w:r>
            <w:r w:rsidR="00460F3C">
              <w:rPr>
                <w:color w:val="000000"/>
                <w:shd w:val="clear" w:color="auto" w:fill="FFFFFF"/>
              </w:rPr>
              <w:t xml:space="preserve"> the </w:t>
            </w:r>
            <w:r>
              <w:rPr>
                <w:color w:val="000000"/>
                <w:shd w:val="clear" w:color="auto" w:fill="FFFFFF"/>
              </w:rPr>
              <w:t xml:space="preserve"> </w:t>
            </w:r>
            <w:r w:rsidR="00EC5583">
              <w:rPr>
                <w:color w:val="000000"/>
                <w:shd w:val="clear" w:color="auto" w:fill="FFFFFF"/>
              </w:rPr>
              <w:t>increase</w:t>
            </w:r>
            <w:r>
              <w:rPr>
                <w:color w:val="000000"/>
                <w:shd w:val="clear" w:color="auto" w:fill="FFFFFF"/>
              </w:rPr>
              <w:t xml:space="preserve"> in</w:t>
            </w:r>
            <w:r w:rsidRPr="0027575F">
              <w:rPr>
                <w:color w:val="000000"/>
                <w:shd w:val="clear" w:color="auto" w:fill="FFFFFF"/>
              </w:rPr>
              <w:t xml:space="preserve"> </w:t>
            </w:r>
            <w:r w:rsidR="005164F2">
              <w:rPr>
                <w:color w:val="000000"/>
                <w:shd w:val="clear" w:color="auto" w:fill="FFFFFF"/>
              </w:rPr>
              <w:t xml:space="preserve">the </w:t>
            </w:r>
            <w:r w:rsidRPr="0027575F">
              <w:rPr>
                <w:color w:val="000000"/>
                <w:shd w:val="clear" w:color="auto" w:fill="FFFFFF"/>
              </w:rPr>
              <w:t xml:space="preserve">number of enrollees in the </w:t>
            </w:r>
            <w:r w:rsidR="00460F3C" w:rsidRPr="0027575F">
              <w:rPr>
                <w:color w:val="000000"/>
                <w:shd w:val="clear" w:color="auto" w:fill="FFFFFF"/>
              </w:rPr>
              <w:t>Child Development Center</w:t>
            </w:r>
            <w:r w:rsidR="00460F3C">
              <w:rPr>
                <w:color w:val="000000"/>
                <w:shd w:val="clear" w:color="auto" w:fill="FFFFFF"/>
              </w:rPr>
              <w:t>s</w:t>
            </w:r>
            <w:r w:rsidR="00460F3C" w:rsidRPr="0027575F">
              <w:rPr>
                <w:color w:val="000000"/>
                <w:shd w:val="clear" w:color="auto" w:fill="FFFFFF"/>
              </w:rPr>
              <w:t xml:space="preserve"> </w:t>
            </w:r>
            <w:r w:rsidRPr="0027575F">
              <w:rPr>
                <w:color w:val="000000"/>
                <w:shd w:val="clear" w:color="auto" w:fill="FFFFFF"/>
              </w:rPr>
              <w:t>as well as SNPs.</w:t>
            </w:r>
          </w:p>
        </w:tc>
      </w:tr>
      <w:tr w:rsidR="00DF371E" w:rsidRPr="00B64A59" w14:paraId="6DB3D6F7" w14:textId="77777777" w:rsidTr="0068148D">
        <w:trPr>
          <w:trHeight w:val="189"/>
        </w:trPr>
        <w:tc>
          <w:tcPr>
            <w:tcW w:w="10365" w:type="dxa"/>
            <w:gridSpan w:val="6"/>
            <w:tcBorders>
              <w:top w:val="single" w:sz="4" w:space="0" w:color="auto"/>
              <w:left w:val="single" w:sz="4" w:space="0" w:color="auto"/>
              <w:bottom w:val="single" w:sz="4" w:space="0" w:color="auto"/>
            </w:tcBorders>
            <w:shd w:val="clear" w:color="auto" w:fill="DEEAF6" w:themeFill="accent1" w:themeFillTint="33"/>
            <w:vAlign w:val="center"/>
          </w:tcPr>
          <w:p w14:paraId="763516AD" w14:textId="77777777" w:rsidR="00DF371E" w:rsidRPr="007C3880" w:rsidRDefault="00DF371E" w:rsidP="00DF371E">
            <w:pPr>
              <w:pStyle w:val="NoSpacing"/>
              <w:rPr>
                <w:b/>
              </w:rPr>
            </w:pPr>
            <w:r w:rsidRPr="007C3880">
              <w:rPr>
                <w:b/>
              </w:rPr>
              <w:t>Social Pension Program</w:t>
            </w:r>
          </w:p>
        </w:tc>
      </w:tr>
      <w:tr w:rsidR="00DF371E" w:rsidRPr="00B64A59" w14:paraId="572F1999"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74AC621" w14:textId="77777777" w:rsidR="00DF371E" w:rsidRDefault="00DF371E" w:rsidP="00DF371E">
            <w:pPr>
              <w:rPr>
                <w:color w:val="000000"/>
              </w:rPr>
            </w:pPr>
            <w:r>
              <w:rPr>
                <w:color w:val="000000"/>
              </w:rPr>
              <w:t xml:space="preserve">2.9. </w:t>
            </w:r>
            <w:r w:rsidRPr="005560BA">
              <w:rPr>
                <w:color w:val="000000"/>
              </w:rPr>
              <w:t xml:space="preserve">Number of senior citizens who </w:t>
            </w:r>
            <w:r w:rsidRPr="005560BA">
              <w:rPr>
                <w:color w:val="000000"/>
              </w:rPr>
              <w:lastRenderedPageBreak/>
              <w:t>received social pension within the quarter (For FY 2021)</w:t>
            </w:r>
          </w:p>
        </w:tc>
        <w:tc>
          <w:tcPr>
            <w:tcW w:w="1543" w:type="dxa"/>
            <w:tcBorders>
              <w:left w:val="single" w:sz="4" w:space="0" w:color="auto"/>
            </w:tcBorders>
          </w:tcPr>
          <w:p w14:paraId="7A9FB853" w14:textId="77777777" w:rsidR="00DF371E" w:rsidRDefault="0027575F" w:rsidP="00DF371E">
            <w:pPr>
              <w:pStyle w:val="NoSpacing"/>
              <w:jc w:val="center"/>
            </w:pPr>
            <w:r>
              <w:lastRenderedPageBreak/>
              <w:t>244,431</w:t>
            </w:r>
          </w:p>
        </w:tc>
        <w:tc>
          <w:tcPr>
            <w:tcW w:w="1559" w:type="dxa"/>
          </w:tcPr>
          <w:p w14:paraId="5C6F4E46" w14:textId="77777777" w:rsidR="00DF371E" w:rsidRDefault="0027575F" w:rsidP="00DF371E">
            <w:pPr>
              <w:pStyle w:val="NoSpacing"/>
              <w:jc w:val="center"/>
            </w:pPr>
            <w:r>
              <w:t>237,095</w:t>
            </w:r>
          </w:p>
        </w:tc>
        <w:tc>
          <w:tcPr>
            <w:tcW w:w="1559" w:type="dxa"/>
          </w:tcPr>
          <w:p w14:paraId="351AB2AA" w14:textId="77777777" w:rsidR="00DF371E" w:rsidRDefault="0027575F" w:rsidP="0027575F">
            <w:pPr>
              <w:pStyle w:val="NoSpacing"/>
              <w:jc w:val="center"/>
            </w:pPr>
            <w:r>
              <w:t>-7,336</w:t>
            </w:r>
          </w:p>
        </w:tc>
        <w:tc>
          <w:tcPr>
            <w:tcW w:w="1276" w:type="dxa"/>
          </w:tcPr>
          <w:p w14:paraId="5C44F86D" w14:textId="77777777" w:rsidR="00DF371E" w:rsidRDefault="00F32326" w:rsidP="00DF371E">
            <w:pPr>
              <w:pStyle w:val="NoSpacing"/>
            </w:pPr>
            <w:r>
              <w:t>Minor Deviation</w:t>
            </w:r>
          </w:p>
        </w:tc>
        <w:tc>
          <w:tcPr>
            <w:tcW w:w="2148" w:type="dxa"/>
          </w:tcPr>
          <w:p w14:paraId="5CFB512D" w14:textId="77777777" w:rsidR="00F32326" w:rsidRDefault="00F32326" w:rsidP="00F32326">
            <w:pPr>
              <w:pStyle w:val="NoSpacing"/>
              <w:rPr>
                <w:color w:val="000000"/>
                <w:shd w:val="clear" w:color="auto" w:fill="FFFFFF"/>
              </w:rPr>
            </w:pPr>
            <w:r w:rsidRPr="00F32326">
              <w:rPr>
                <w:color w:val="000000"/>
                <w:shd w:val="clear" w:color="auto" w:fill="FFFFFF"/>
              </w:rPr>
              <w:t xml:space="preserve">The Social Pension Program targeted </w:t>
            </w:r>
            <w:r w:rsidRPr="00F32326">
              <w:rPr>
                <w:color w:val="000000"/>
                <w:shd w:val="clear" w:color="auto" w:fill="FFFFFF"/>
              </w:rPr>
              <w:lastRenderedPageBreak/>
              <w:t>244,431 original and additional beneficiaries for CY 2022 with 229,622 served beneficiaries or 93.94% accomplishment</w:t>
            </w:r>
            <w:r>
              <w:rPr>
                <w:color w:val="000000"/>
                <w:shd w:val="clear" w:color="auto" w:fill="FFFFFF"/>
              </w:rPr>
              <w:t>.</w:t>
            </w:r>
          </w:p>
          <w:p w14:paraId="3066148C" w14:textId="77777777" w:rsidR="00DF371E" w:rsidRPr="00F32326" w:rsidRDefault="00F32326" w:rsidP="00460F3C">
            <w:pPr>
              <w:pStyle w:val="NoSpacing"/>
            </w:pPr>
            <w:r>
              <w:rPr>
                <w:color w:val="000000"/>
                <w:shd w:val="clear" w:color="auto" w:fill="FFFFFF"/>
              </w:rPr>
              <w:t>The varian</w:t>
            </w:r>
            <w:r w:rsidRPr="00F32326">
              <w:rPr>
                <w:color w:val="000000"/>
                <w:shd w:val="clear" w:color="auto" w:fill="FFFFFF"/>
              </w:rPr>
              <w:t xml:space="preserve">ce will be repayrolled </w:t>
            </w:r>
            <w:r w:rsidR="00460F3C">
              <w:rPr>
                <w:color w:val="000000"/>
                <w:shd w:val="clear" w:color="auto" w:fill="FFFFFF"/>
              </w:rPr>
              <w:t xml:space="preserve">for </w:t>
            </w:r>
            <w:r w:rsidRPr="00F32326">
              <w:rPr>
                <w:color w:val="000000"/>
                <w:shd w:val="clear" w:color="auto" w:fill="FFFFFF"/>
              </w:rPr>
              <w:t xml:space="preserve"> the 3rd Quarter cash pay-out CY 2022.</w:t>
            </w:r>
          </w:p>
        </w:tc>
      </w:tr>
      <w:tr w:rsidR="00DF371E" w:rsidRPr="00B64A59" w14:paraId="26E50F1B" w14:textId="77777777" w:rsidTr="0068148D">
        <w:trPr>
          <w:trHeight w:val="189"/>
        </w:trPr>
        <w:tc>
          <w:tcPr>
            <w:tcW w:w="10365" w:type="dxa"/>
            <w:gridSpan w:val="6"/>
            <w:tcBorders>
              <w:top w:val="single" w:sz="4" w:space="0" w:color="auto"/>
              <w:left w:val="single" w:sz="4" w:space="0" w:color="auto"/>
              <w:bottom w:val="single" w:sz="4" w:space="0" w:color="auto"/>
            </w:tcBorders>
            <w:shd w:val="clear" w:color="auto" w:fill="DEEAF6" w:themeFill="accent1" w:themeFillTint="33"/>
            <w:vAlign w:val="center"/>
          </w:tcPr>
          <w:p w14:paraId="44F5DB26" w14:textId="77777777" w:rsidR="00DF371E" w:rsidRPr="007C3880" w:rsidRDefault="00DF371E" w:rsidP="00DF371E">
            <w:pPr>
              <w:pStyle w:val="NoSpacing"/>
              <w:rPr>
                <w:b/>
              </w:rPr>
            </w:pPr>
            <w:r w:rsidRPr="007C3880">
              <w:rPr>
                <w:b/>
              </w:rPr>
              <w:lastRenderedPageBreak/>
              <w:t>Centenarian Program</w:t>
            </w:r>
          </w:p>
        </w:tc>
      </w:tr>
      <w:tr w:rsidR="00DF371E" w:rsidRPr="00B64A59" w14:paraId="560641C8"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3C815188" w14:textId="77777777" w:rsidR="00DF371E" w:rsidRDefault="00DF371E" w:rsidP="00DF371E">
            <w:pPr>
              <w:rPr>
                <w:color w:val="000000"/>
              </w:rPr>
            </w:pPr>
            <w:r>
              <w:rPr>
                <w:color w:val="000000"/>
              </w:rPr>
              <w:t xml:space="preserve">2.10. </w:t>
            </w:r>
            <w:r w:rsidRPr="005560BA">
              <w:rPr>
                <w:color w:val="000000"/>
              </w:rPr>
              <w:t>Number of centenarians provided with cash gift</w:t>
            </w:r>
            <w:r>
              <w:rPr>
                <w:color w:val="000000"/>
              </w:rPr>
              <w:t>s</w:t>
            </w:r>
            <w:r w:rsidRPr="005560BA">
              <w:rPr>
                <w:color w:val="000000"/>
              </w:rPr>
              <w:t xml:space="preserve"> (FY 2021)</w:t>
            </w:r>
          </w:p>
        </w:tc>
        <w:tc>
          <w:tcPr>
            <w:tcW w:w="1543" w:type="dxa"/>
            <w:tcBorders>
              <w:left w:val="single" w:sz="4" w:space="0" w:color="auto"/>
            </w:tcBorders>
          </w:tcPr>
          <w:p w14:paraId="48219643" w14:textId="77777777" w:rsidR="00DF371E" w:rsidRDefault="00F32326" w:rsidP="00DF371E">
            <w:pPr>
              <w:pStyle w:val="NoSpacing"/>
              <w:jc w:val="center"/>
            </w:pPr>
            <w:r>
              <w:t>60</w:t>
            </w:r>
          </w:p>
        </w:tc>
        <w:tc>
          <w:tcPr>
            <w:tcW w:w="1559" w:type="dxa"/>
          </w:tcPr>
          <w:p w14:paraId="4B8E6999" w14:textId="77777777" w:rsidR="00DF371E" w:rsidRDefault="00F32326" w:rsidP="00DF371E">
            <w:pPr>
              <w:pStyle w:val="NoSpacing"/>
              <w:jc w:val="right"/>
            </w:pPr>
            <w:r>
              <w:t>27</w:t>
            </w:r>
          </w:p>
        </w:tc>
        <w:tc>
          <w:tcPr>
            <w:tcW w:w="1559" w:type="dxa"/>
          </w:tcPr>
          <w:p w14:paraId="3175E395" w14:textId="77777777" w:rsidR="00DF371E" w:rsidRDefault="00F32326" w:rsidP="00DF371E">
            <w:pPr>
              <w:pStyle w:val="NoSpacing"/>
              <w:jc w:val="right"/>
            </w:pPr>
            <w:r>
              <w:t>33</w:t>
            </w:r>
          </w:p>
        </w:tc>
        <w:tc>
          <w:tcPr>
            <w:tcW w:w="1276" w:type="dxa"/>
          </w:tcPr>
          <w:p w14:paraId="12A88C2B" w14:textId="77777777" w:rsidR="00DF371E" w:rsidRDefault="00F32326" w:rsidP="00DF371E">
            <w:pPr>
              <w:pStyle w:val="NoSpacing"/>
            </w:pPr>
            <w:r>
              <w:t>Major Deviation</w:t>
            </w:r>
          </w:p>
        </w:tc>
        <w:tc>
          <w:tcPr>
            <w:tcW w:w="2148" w:type="dxa"/>
          </w:tcPr>
          <w:p w14:paraId="67161A92" w14:textId="4D394A2B" w:rsidR="00DF371E" w:rsidRPr="00B64A59" w:rsidRDefault="00413F89" w:rsidP="00460F3C">
            <w:pPr>
              <w:pStyle w:val="NoSpacing"/>
            </w:pPr>
            <w:r>
              <w:t>For the 1st quarter there are was an</w:t>
            </w:r>
            <w:r w:rsidR="00F32326" w:rsidRPr="00F32326">
              <w:t xml:space="preserve"> increase of 12 </w:t>
            </w:r>
            <w:r w:rsidRPr="00F32326">
              <w:t>centenarian beneficiaries</w:t>
            </w:r>
            <w:r w:rsidR="00F32326" w:rsidRPr="00F32326">
              <w:t xml:space="preserve"> served with a total of 16 centenarian beneficiaries. For the 2nd quarter</w:t>
            </w:r>
            <w:r w:rsidR="00460F3C">
              <w:t>,</w:t>
            </w:r>
            <w:r>
              <w:t xml:space="preserve"> there were </w:t>
            </w:r>
            <w:r w:rsidR="00F32326" w:rsidRPr="00F32326">
              <w:t xml:space="preserve">11 </w:t>
            </w:r>
            <w:r w:rsidRPr="00F32326">
              <w:t>centenarian beneficiaries</w:t>
            </w:r>
            <w:r w:rsidR="00F32326" w:rsidRPr="00F32326">
              <w:t xml:space="preserve"> served. As for 1st semester 2022</w:t>
            </w:r>
            <w:r w:rsidR="00460F3C">
              <w:t>,</w:t>
            </w:r>
            <w:r w:rsidR="00F32326" w:rsidRPr="00F32326">
              <w:t xml:space="preserve"> there are 34 centenarian </w:t>
            </w:r>
            <w:r w:rsidR="00460F3C">
              <w:t xml:space="preserve">applicants whose </w:t>
            </w:r>
            <w:r w:rsidR="00F32326" w:rsidRPr="00F32326">
              <w:t xml:space="preserve">documents </w:t>
            </w:r>
            <w:r w:rsidR="00460F3C">
              <w:t xml:space="preserve">are </w:t>
            </w:r>
            <w:r w:rsidR="00460F3C" w:rsidRPr="00F32326">
              <w:t>facilitated</w:t>
            </w:r>
            <w:r w:rsidR="00F32326" w:rsidRPr="00F32326">
              <w:t xml:space="preserve"> and obligated</w:t>
            </w:r>
            <w:r w:rsidR="00460F3C">
              <w:t xml:space="preserve">. Out of this, </w:t>
            </w:r>
            <w:r w:rsidR="00F32326" w:rsidRPr="00F32326">
              <w:t>27 centenarian</w:t>
            </w:r>
            <w:r w:rsidR="00460F3C">
              <w:t>s</w:t>
            </w:r>
            <w:r w:rsidR="00F32326">
              <w:t xml:space="preserve"> </w:t>
            </w:r>
            <w:r w:rsidR="00460F3C">
              <w:t xml:space="preserve">were provided with the cash </w:t>
            </w:r>
            <w:r w:rsidR="00F32326">
              <w:t>gifts. T</w:t>
            </w:r>
            <w:r w:rsidR="00F32326" w:rsidRPr="00F32326">
              <w:t>he remaining 7 centenarian checks will be deliver</w:t>
            </w:r>
            <w:r>
              <w:t>ed this 1st week of J</w:t>
            </w:r>
            <w:r w:rsidR="00F32326" w:rsidRPr="00F32326">
              <w:t>uly 2022 to complete the total obligation.</w:t>
            </w:r>
          </w:p>
        </w:tc>
      </w:tr>
      <w:tr w:rsidR="00DF371E" w:rsidRPr="00B64A59" w14:paraId="7F6C4E07" w14:textId="77777777" w:rsidTr="0068148D">
        <w:trPr>
          <w:trHeight w:val="189"/>
        </w:trPr>
        <w:tc>
          <w:tcPr>
            <w:tcW w:w="10365" w:type="dxa"/>
            <w:gridSpan w:val="6"/>
            <w:tcBorders>
              <w:top w:val="single" w:sz="4" w:space="0" w:color="auto"/>
              <w:left w:val="single" w:sz="4" w:space="0" w:color="auto"/>
              <w:bottom w:val="single" w:sz="4" w:space="0" w:color="auto"/>
            </w:tcBorders>
            <w:shd w:val="clear" w:color="auto" w:fill="DEEAF6" w:themeFill="accent1" w:themeFillTint="33"/>
            <w:vAlign w:val="center"/>
          </w:tcPr>
          <w:p w14:paraId="49168154" w14:textId="77777777" w:rsidR="00DF371E" w:rsidRPr="007C3880" w:rsidRDefault="00DF371E" w:rsidP="00DF371E">
            <w:pPr>
              <w:pStyle w:val="NoSpacing"/>
              <w:rPr>
                <w:b/>
              </w:rPr>
            </w:pPr>
            <w:r w:rsidRPr="007C3880">
              <w:rPr>
                <w:b/>
              </w:rPr>
              <w:t>Minors Travelling Abroad</w:t>
            </w:r>
          </w:p>
        </w:tc>
      </w:tr>
      <w:tr w:rsidR="00DF371E" w:rsidRPr="00B64A59" w14:paraId="6CC5C974"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78FA4C90" w14:textId="77777777" w:rsidR="00DF371E" w:rsidRDefault="00DF371E" w:rsidP="00DF371E">
            <w:pPr>
              <w:rPr>
                <w:color w:val="000000"/>
              </w:rPr>
            </w:pPr>
            <w:r>
              <w:rPr>
                <w:color w:val="000000"/>
              </w:rPr>
              <w:t xml:space="preserve">2.13. </w:t>
            </w:r>
            <w:r w:rsidRPr="007D1580">
              <w:rPr>
                <w:color w:val="000000"/>
              </w:rPr>
              <w:t>Number of minors traveling abroad issued with travel clear</w:t>
            </w:r>
            <w:r>
              <w:rPr>
                <w:color w:val="000000"/>
              </w:rPr>
              <w:t>ance (Minors Travelling Abroad)</w:t>
            </w:r>
          </w:p>
        </w:tc>
        <w:tc>
          <w:tcPr>
            <w:tcW w:w="1543" w:type="dxa"/>
            <w:tcBorders>
              <w:left w:val="single" w:sz="4" w:space="0" w:color="auto"/>
            </w:tcBorders>
            <w:shd w:val="clear" w:color="auto" w:fill="FFFFFF" w:themeFill="background1"/>
          </w:tcPr>
          <w:p w14:paraId="3558316A" w14:textId="77777777" w:rsidR="00DF371E" w:rsidRPr="00B41687" w:rsidRDefault="008D1FD0" w:rsidP="00DF371E">
            <w:pPr>
              <w:pStyle w:val="NoSpacing"/>
              <w:jc w:val="center"/>
            </w:pPr>
            <w:r>
              <w:t>246</w:t>
            </w:r>
          </w:p>
        </w:tc>
        <w:tc>
          <w:tcPr>
            <w:tcW w:w="1559" w:type="dxa"/>
            <w:tcBorders>
              <w:left w:val="single" w:sz="4" w:space="0" w:color="auto"/>
            </w:tcBorders>
            <w:shd w:val="clear" w:color="auto" w:fill="FFFFFF" w:themeFill="background1"/>
          </w:tcPr>
          <w:p w14:paraId="136C8827" w14:textId="77777777" w:rsidR="00DF371E" w:rsidRPr="00B41687" w:rsidRDefault="008D1FD0" w:rsidP="00DF371E">
            <w:pPr>
              <w:pStyle w:val="NoSpacing"/>
              <w:jc w:val="center"/>
            </w:pPr>
            <w:r>
              <w:t>246</w:t>
            </w:r>
          </w:p>
        </w:tc>
        <w:tc>
          <w:tcPr>
            <w:tcW w:w="1559" w:type="dxa"/>
            <w:shd w:val="clear" w:color="auto" w:fill="FFFFFF" w:themeFill="background1"/>
          </w:tcPr>
          <w:p w14:paraId="45AFEF13" w14:textId="77777777" w:rsidR="00DF371E" w:rsidRPr="007D1580" w:rsidRDefault="008D1FD0" w:rsidP="00DF371E">
            <w:pPr>
              <w:pStyle w:val="NoSpacing"/>
            </w:pPr>
            <w:r>
              <w:t>100%</w:t>
            </w:r>
          </w:p>
        </w:tc>
        <w:tc>
          <w:tcPr>
            <w:tcW w:w="1276" w:type="dxa"/>
            <w:shd w:val="clear" w:color="auto" w:fill="FFFFFF" w:themeFill="background1"/>
          </w:tcPr>
          <w:p w14:paraId="09737A81" w14:textId="77777777" w:rsidR="00DF371E" w:rsidRPr="008D1FD0" w:rsidRDefault="008D1FD0" w:rsidP="00DF371E">
            <w:pPr>
              <w:pStyle w:val="NoSpacing"/>
            </w:pPr>
            <w:r w:rsidRPr="008D1FD0">
              <w:t xml:space="preserve">Full Target Achieved </w:t>
            </w:r>
          </w:p>
        </w:tc>
        <w:tc>
          <w:tcPr>
            <w:tcW w:w="2148" w:type="dxa"/>
            <w:shd w:val="clear" w:color="auto" w:fill="FFFFFF" w:themeFill="background1"/>
          </w:tcPr>
          <w:p w14:paraId="2E2F6F18" w14:textId="77777777" w:rsidR="00DF371E" w:rsidRPr="008D1FD0" w:rsidRDefault="008D1FD0" w:rsidP="00DF371E">
            <w:pPr>
              <w:pStyle w:val="NoSpacing"/>
              <w:rPr>
                <w:b/>
              </w:rPr>
            </w:pPr>
            <w:r w:rsidRPr="008D1FD0">
              <w:rPr>
                <w:color w:val="000000"/>
                <w:shd w:val="clear" w:color="auto" w:fill="FFFFFF"/>
              </w:rPr>
              <w:t>Continuous issuance of Travel Clearance to minors travelling abroad with no complaints.</w:t>
            </w:r>
          </w:p>
        </w:tc>
      </w:tr>
      <w:tr w:rsidR="00DF371E" w:rsidRPr="00B64A59" w14:paraId="56F5BF9D" w14:textId="77777777" w:rsidTr="0068148D">
        <w:trPr>
          <w:trHeight w:val="189"/>
        </w:trPr>
        <w:tc>
          <w:tcPr>
            <w:tcW w:w="10365" w:type="dxa"/>
            <w:gridSpan w:val="6"/>
            <w:tcBorders>
              <w:top w:val="single" w:sz="4" w:space="0" w:color="auto"/>
              <w:left w:val="single" w:sz="4" w:space="0" w:color="auto"/>
              <w:bottom w:val="single" w:sz="4" w:space="0" w:color="auto"/>
            </w:tcBorders>
            <w:shd w:val="clear" w:color="auto" w:fill="DEEAF6" w:themeFill="accent1" w:themeFillTint="33"/>
            <w:vAlign w:val="center"/>
          </w:tcPr>
          <w:p w14:paraId="7ACE49E5" w14:textId="77777777" w:rsidR="00DF371E" w:rsidRPr="002D57EA" w:rsidRDefault="00DF371E" w:rsidP="00DF371E">
            <w:pPr>
              <w:pStyle w:val="NoSpacing"/>
              <w:rPr>
                <w:b/>
              </w:rPr>
            </w:pPr>
            <w:r>
              <w:rPr>
                <w:b/>
              </w:rPr>
              <w:t>Assistance to Individual Crisis Situation (AICS) Program</w:t>
            </w:r>
          </w:p>
        </w:tc>
      </w:tr>
      <w:tr w:rsidR="001431CE" w:rsidRPr="00B64A59" w14:paraId="113B563A"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CC4D9C1" w14:textId="77777777" w:rsidR="001431CE" w:rsidRDefault="001431CE" w:rsidP="001431CE">
            <w:pPr>
              <w:rPr>
                <w:color w:val="000000"/>
              </w:rPr>
            </w:pPr>
            <w:r w:rsidRPr="007D1580">
              <w:rPr>
                <w:color w:val="000000"/>
              </w:rPr>
              <w:t>Number of beneficiaries served through AICS</w:t>
            </w:r>
          </w:p>
        </w:tc>
        <w:tc>
          <w:tcPr>
            <w:tcW w:w="1543" w:type="dxa"/>
            <w:tcBorders>
              <w:left w:val="single" w:sz="4" w:space="0" w:color="auto"/>
            </w:tcBorders>
            <w:shd w:val="clear" w:color="auto" w:fill="FFFFFF" w:themeFill="background1"/>
          </w:tcPr>
          <w:p w14:paraId="16E29449" w14:textId="77777777" w:rsidR="001431CE" w:rsidRPr="00B41687" w:rsidRDefault="001431CE" w:rsidP="001431CE">
            <w:pPr>
              <w:pStyle w:val="NoSpacing"/>
              <w:jc w:val="center"/>
            </w:pPr>
            <w:r>
              <w:t>124,161</w:t>
            </w:r>
          </w:p>
        </w:tc>
        <w:tc>
          <w:tcPr>
            <w:tcW w:w="1559" w:type="dxa"/>
            <w:tcBorders>
              <w:left w:val="single" w:sz="4" w:space="0" w:color="auto"/>
            </w:tcBorders>
            <w:shd w:val="clear" w:color="auto" w:fill="FFFFFF" w:themeFill="background1"/>
          </w:tcPr>
          <w:p w14:paraId="0D5F7FD3" w14:textId="77777777" w:rsidR="001431CE" w:rsidRPr="00B41687" w:rsidRDefault="001431CE" w:rsidP="001431CE">
            <w:pPr>
              <w:pStyle w:val="NoSpacing"/>
              <w:jc w:val="center"/>
            </w:pPr>
            <w:r>
              <w:t>124,161</w:t>
            </w:r>
          </w:p>
        </w:tc>
        <w:tc>
          <w:tcPr>
            <w:tcW w:w="1559" w:type="dxa"/>
            <w:shd w:val="clear" w:color="auto" w:fill="FFFFFF" w:themeFill="background1"/>
          </w:tcPr>
          <w:p w14:paraId="23B78A2F" w14:textId="77777777" w:rsidR="001431CE" w:rsidRPr="007D1580" w:rsidRDefault="001431CE" w:rsidP="001431CE">
            <w:pPr>
              <w:pStyle w:val="NoSpacing"/>
            </w:pPr>
            <w:r>
              <w:t>100%</w:t>
            </w:r>
          </w:p>
        </w:tc>
        <w:tc>
          <w:tcPr>
            <w:tcW w:w="1276" w:type="dxa"/>
            <w:shd w:val="clear" w:color="auto" w:fill="FFFFFF" w:themeFill="background1"/>
          </w:tcPr>
          <w:p w14:paraId="533D0052" w14:textId="77777777" w:rsidR="001431CE" w:rsidRPr="008D1FD0" w:rsidRDefault="001431CE" w:rsidP="001431CE">
            <w:pPr>
              <w:pStyle w:val="NoSpacing"/>
            </w:pPr>
            <w:r w:rsidRPr="008D1FD0">
              <w:t xml:space="preserve">Full Target Achieved </w:t>
            </w:r>
          </w:p>
        </w:tc>
        <w:tc>
          <w:tcPr>
            <w:tcW w:w="2148" w:type="dxa"/>
            <w:shd w:val="clear" w:color="auto" w:fill="FFFFFF" w:themeFill="background1"/>
          </w:tcPr>
          <w:p w14:paraId="66421C0F" w14:textId="77777777" w:rsidR="001431CE" w:rsidRPr="007D1580" w:rsidRDefault="001431CE" w:rsidP="001431CE">
            <w:pPr>
              <w:pStyle w:val="NoSpacing"/>
            </w:pPr>
            <w:r w:rsidRPr="001431CE">
              <w:t xml:space="preserve">The served clients reported for the 2nd Quarter came </w:t>
            </w:r>
            <w:r w:rsidRPr="001431CE">
              <w:lastRenderedPageBreak/>
              <w:t>from the current funds of CY 2022 while a total of 10,897 clients served amounting to 14,999,000 from the continuing funds.</w:t>
            </w:r>
          </w:p>
        </w:tc>
      </w:tr>
      <w:tr w:rsidR="001431CE" w:rsidRPr="00B64A59" w14:paraId="3F4BC4FD" w14:textId="77777777" w:rsidTr="00181C76">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C679C54" w14:textId="77777777" w:rsidR="001431CE" w:rsidRPr="007D1580" w:rsidRDefault="001431CE" w:rsidP="001431CE">
            <w:pPr>
              <w:rPr>
                <w:color w:val="000000"/>
              </w:rPr>
            </w:pPr>
            <w:r>
              <w:rPr>
                <w:color w:val="000000"/>
              </w:rPr>
              <w:lastRenderedPageBreak/>
              <w:t xml:space="preserve">AICS Served by Type of Assistance </w:t>
            </w:r>
          </w:p>
        </w:tc>
        <w:tc>
          <w:tcPr>
            <w:tcW w:w="1543" w:type="dxa"/>
            <w:tcBorders>
              <w:left w:val="single" w:sz="4" w:space="0" w:color="auto"/>
              <w:bottom w:val="single" w:sz="4" w:space="0" w:color="auto"/>
            </w:tcBorders>
            <w:shd w:val="clear" w:color="auto" w:fill="FFFFFF" w:themeFill="background1"/>
          </w:tcPr>
          <w:p w14:paraId="1DE51145" w14:textId="77777777" w:rsidR="001431CE" w:rsidRDefault="001431CE" w:rsidP="001431CE">
            <w:pPr>
              <w:pStyle w:val="NoSpacing"/>
              <w:jc w:val="right"/>
            </w:pPr>
            <w:r>
              <w:t>124,161</w:t>
            </w:r>
          </w:p>
        </w:tc>
        <w:tc>
          <w:tcPr>
            <w:tcW w:w="1559" w:type="dxa"/>
            <w:tcBorders>
              <w:left w:val="single" w:sz="4" w:space="0" w:color="auto"/>
              <w:bottom w:val="single" w:sz="4" w:space="0" w:color="auto"/>
            </w:tcBorders>
            <w:shd w:val="clear" w:color="auto" w:fill="FFFFFF" w:themeFill="background1"/>
          </w:tcPr>
          <w:p w14:paraId="77D433DE" w14:textId="77777777" w:rsidR="001431CE" w:rsidRDefault="001431CE" w:rsidP="001431CE">
            <w:pPr>
              <w:pStyle w:val="NoSpacing"/>
              <w:jc w:val="right"/>
            </w:pPr>
            <w:r>
              <w:t>124,161</w:t>
            </w:r>
          </w:p>
        </w:tc>
        <w:tc>
          <w:tcPr>
            <w:tcW w:w="1559" w:type="dxa"/>
            <w:tcBorders>
              <w:bottom w:val="single" w:sz="4" w:space="0" w:color="auto"/>
            </w:tcBorders>
            <w:shd w:val="clear" w:color="auto" w:fill="FFFFFF" w:themeFill="background1"/>
          </w:tcPr>
          <w:p w14:paraId="22D6C782" w14:textId="77777777" w:rsidR="001431CE" w:rsidRPr="007D1580" w:rsidRDefault="001431CE" w:rsidP="001431CE">
            <w:pPr>
              <w:pStyle w:val="NoSpacing"/>
            </w:pPr>
            <w:r>
              <w:t>100%</w:t>
            </w:r>
          </w:p>
        </w:tc>
        <w:tc>
          <w:tcPr>
            <w:tcW w:w="1276" w:type="dxa"/>
            <w:shd w:val="clear" w:color="auto" w:fill="FFFFFF" w:themeFill="background1"/>
          </w:tcPr>
          <w:p w14:paraId="24B08372" w14:textId="77777777" w:rsidR="001431CE" w:rsidRPr="008D1FD0" w:rsidRDefault="001431CE" w:rsidP="001431CE">
            <w:pPr>
              <w:pStyle w:val="NoSpacing"/>
            </w:pPr>
            <w:r w:rsidRPr="008D1FD0">
              <w:t xml:space="preserve">Full Target Achieved </w:t>
            </w:r>
          </w:p>
        </w:tc>
        <w:tc>
          <w:tcPr>
            <w:tcW w:w="2148" w:type="dxa"/>
            <w:tcBorders>
              <w:top w:val="single" w:sz="4" w:space="0" w:color="auto"/>
              <w:left w:val="single" w:sz="4" w:space="0" w:color="auto"/>
              <w:bottom w:val="single" w:sz="4" w:space="0" w:color="auto"/>
            </w:tcBorders>
          </w:tcPr>
          <w:p w14:paraId="22AF6F41" w14:textId="77777777" w:rsidR="001431CE" w:rsidRPr="00B64A59" w:rsidRDefault="001431CE" w:rsidP="001431CE">
            <w:pPr>
              <w:pStyle w:val="NoSpacing"/>
            </w:pPr>
          </w:p>
        </w:tc>
      </w:tr>
      <w:tr w:rsidR="001431CE" w:rsidRPr="00B64A59" w14:paraId="2BE6775F" w14:textId="77777777" w:rsidTr="00181C76">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58D0F679" w14:textId="77777777" w:rsidR="001431CE" w:rsidRDefault="001431CE" w:rsidP="001431CE">
            <w:pPr>
              <w:pStyle w:val="NoSpacing"/>
            </w:pPr>
            <w:r>
              <w:t>a. Medical Assistance</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638C749E" w14:textId="77777777" w:rsidR="001431CE" w:rsidRDefault="001431CE" w:rsidP="001431CE">
            <w:pPr>
              <w:jc w:val="right"/>
              <w:rPr>
                <w:color w:val="000000"/>
              </w:rPr>
            </w:pPr>
            <w:r>
              <w:rPr>
                <w:color w:val="000000"/>
              </w:rPr>
              <w:t>23,368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E62CA7C" w14:textId="77777777" w:rsidR="001431CE" w:rsidRDefault="001431CE" w:rsidP="001431CE">
            <w:pPr>
              <w:jc w:val="right"/>
              <w:rPr>
                <w:color w:val="000000"/>
              </w:rPr>
            </w:pPr>
            <w:r>
              <w:rPr>
                <w:color w:val="000000"/>
              </w:rPr>
              <w:t>23,368</w:t>
            </w:r>
          </w:p>
        </w:tc>
        <w:tc>
          <w:tcPr>
            <w:tcW w:w="1559" w:type="dxa"/>
            <w:tcBorders>
              <w:top w:val="single" w:sz="4" w:space="0" w:color="auto"/>
              <w:left w:val="single" w:sz="4" w:space="0" w:color="auto"/>
              <w:bottom w:val="single" w:sz="4" w:space="0" w:color="auto"/>
            </w:tcBorders>
            <w:shd w:val="clear" w:color="auto" w:fill="FFFFFF" w:themeFill="background1"/>
          </w:tcPr>
          <w:p w14:paraId="4EFEBEE7" w14:textId="77777777" w:rsidR="001431CE" w:rsidRPr="007D1580" w:rsidRDefault="001431CE" w:rsidP="001431CE">
            <w:pPr>
              <w:pStyle w:val="NoSpacing"/>
            </w:pPr>
            <w:r>
              <w:t>100%</w:t>
            </w:r>
          </w:p>
        </w:tc>
        <w:tc>
          <w:tcPr>
            <w:tcW w:w="1276" w:type="dxa"/>
            <w:shd w:val="clear" w:color="auto" w:fill="FFFFFF" w:themeFill="background1"/>
          </w:tcPr>
          <w:p w14:paraId="1DEE852D" w14:textId="77777777" w:rsidR="001431CE" w:rsidRPr="008D1FD0" w:rsidRDefault="001431CE" w:rsidP="001431CE">
            <w:pPr>
              <w:pStyle w:val="NoSpacing"/>
            </w:pPr>
            <w:r w:rsidRPr="008D1FD0">
              <w:t xml:space="preserve">Full Target Achieved </w:t>
            </w:r>
          </w:p>
        </w:tc>
        <w:tc>
          <w:tcPr>
            <w:tcW w:w="2148" w:type="dxa"/>
            <w:tcBorders>
              <w:top w:val="single" w:sz="4" w:space="0" w:color="auto"/>
              <w:left w:val="single" w:sz="4" w:space="0" w:color="auto"/>
              <w:bottom w:val="single" w:sz="4" w:space="0" w:color="auto"/>
            </w:tcBorders>
          </w:tcPr>
          <w:p w14:paraId="6277E058" w14:textId="77777777" w:rsidR="001431CE" w:rsidRPr="00B64A59" w:rsidRDefault="001431CE" w:rsidP="001431CE">
            <w:pPr>
              <w:pStyle w:val="NoSpacing"/>
            </w:pPr>
          </w:p>
        </w:tc>
      </w:tr>
      <w:tr w:rsidR="001431CE" w:rsidRPr="00B64A59" w14:paraId="2F12FF78" w14:textId="77777777" w:rsidTr="00181C76">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37E4477" w14:textId="77777777" w:rsidR="001431CE" w:rsidRDefault="001431CE" w:rsidP="001431CE">
            <w:pPr>
              <w:pStyle w:val="NoSpacing"/>
            </w:pPr>
            <w:r>
              <w:t>b. Burial Assistance</w:t>
            </w:r>
          </w:p>
        </w:tc>
        <w:tc>
          <w:tcPr>
            <w:tcW w:w="1543" w:type="dxa"/>
            <w:tcBorders>
              <w:top w:val="single" w:sz="4" w:space="0" w:color="auto"/>
              <w:left w:val="single" w:sz="4" w:space="0" w:color="000000"/>
              <w:bottom w:val="single" w:sz="4" w:space="0" w:color="auto"/>
              <w:right w:val="single" w:sz="4" w:space="0" w:color="000000"/>
            </w:tcBorders>
            <w:shd w:val="clear" w:color="auto" w:fill="auto"/>
          </w:tcPr>
          <w:p w14:paraId="5E15519C" w14:textId="77777777" w:rsidR="001431CE" w:rsidRDefault="001431CE" w:rsidP="001431CE">
            <w:pPr>
              <w:jc w:val="right"/>
              <w:rPr>
                <w:color w:val="000000"/>
              </w:rPr>
            </w:pPr>
            <w:r>
              <w:rPr>
                <w:color w:val="000000"/>
              </w:rPr>
              <w:t>2,628</w:t>
            </w:r>
          </w:p>
        </w:tc>
        <w:tc>
          <w:tcPr>
            <w:tcW w:w="155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2E8B957" w14:textId="77777777" w:rsidR="001431CE" w:rsidRDefault="001431CE" w:rsidP="001431CE">
            <w:pPr>
              <w:jc w:val="right"/>
              <w:rPr>
                <w:color w:val="000000"/>
              </w:rPr>
            </w:pPr>
            <w:r>
              <w:rPr>
                <w:color w:val="000000"/>
              </w:rPr>
              <w:t>2,628</w:t>
            </w:r>
          </w:p>
        </w:tc>
        <w:tc>
          <w:tcPr>
            <w:tcW w:w="1559" w:type="dxa"/>
            <w:tcBorders>
              <w:top w:val="single" w:sz="4" w:space="0" w:color="auto"/>
              <w:bottom w:val="single" w:sz="4" w:space="0" w:color="auto"/>
            </w:tcBorders>
            <w:shd w:val="clear" w:color="auto" w:fill="FFFFFF" w:themeFill="background1"/>
          </w:tcPr>
          <w:p w14:paraId="651B3F7B" w14:textId="77777777" w:rsidR="001431CE" w:rsidRPr="007D1580" w:rsidRDefault="001431CE" w:rsidP="001431CE">
            <w:pPr>
              <w:pStyle w:val="NoSpacing"/>
            </w:pPr>
            <w:r>
              <w:t>100%</w:t>
            </w:r>
          </w:p>
        </w:tc>
        <w:tc>
          <w:tcPr>
            <w:tcW w:w="1276" w:type="dxa"/>
            <w:shd w:val="clear" w:color="auto" w:fill="FFFFFF" w:themeFill="background1"/>
          </w:tcPr>
          <w:p w14:paraId="615F3BB5" w14:textId="77777777" w:rsidR="001431CE" w:rsidRPr="008D1FD0" w:rsidRDefault="001431CE" w:rsidP="001431CE">
            <w:pPr>
              <w:pStyle w:val="NoSpacing"/>
            </w:pPr>
            <w:r w:rsidRPr="008D1FD0">
              <w:t xml:space="preserve">Full Target Achieved </w:t>
            </w:r>
          </w:p>
        </w:tc>
        <w:tc>
          <w:tcPr>
            <w:tcW w:w="2148" w:type="dxa"/>
            <w:tcBorders>
              <w:top w:val="single" w:sz="4" w:space="0" w:color="auto"/>
              <w:left w:val="single" w:sz="4" w:space="0" w:color="auto"/>
              <w:bottom w:val="single" w:sz="4" w:space="0" w:color="auto"/>
            </w:tcBorders>
          </w:tcPr>
          <w:p w14:paraId="1D82696B" w14:textId="77777777" w:rsidR="001431CE" w:rsidRPr="00B64A59" w:rsidRDefault="001431CE" w:rsidP="001431CE">
            <w:pPr>
              <w:pStyle w:val="NoSpacing"/>
            </w:pPr>
          </w:p>
        </w:tc>
      </w:tr>
      <w:tr w:rsidR="001431CE" w:rsidRPr="00B64A59" w14:paraId="5624ABCB" w14:textId="77777777" w:rsidTr="0088555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06DF7105" w14:textId="77777777" w:rsidR="001431CE" w:rsidRDefault="001431CE" w:rsidP="001431CE">
            <w:pPr>
              <w:pStyle w:val="NoSpacing"/>
            </w:pPr>
            <w:r>
              <w:t>c. Educational Assistance</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44FF78CD" w14:textId="77777777" w:rsidR="001431CE" w:rsidRDefault="001431CE" w:rsidP="001431CE">
            <w:pPr>
              <w:jc w:val="right"/>
              <w:rPr>
                <w:color w:val="000000"/>
              </w:rPr>
            </w:pPr>
            <w:r>
              <w:rPr>
                <w:color w:val="000000"/>
              </w:rPr>
              <w:t>7,391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CA1BDA" w14:textId="77777777" w:rsidR="001431CE" w:rsidRDefault="001431CE" w:rsidP="001431CE">
            <w:pPr>
              <w:jc w:val="right"/>
              <w:rPr>
                <w:color w:val="000000"/>
              </w:rPr>
            </w:pPr>
            <w:r>
              <w:rPr>
                <w:color w:val="000000"/>
              </w:rPr>
              <w:t>7,391</w:t>
            </w:r>
          </w:p>
        </w:tc>
        <w:tc>
          <w:tcPr>
            <w:tcW w:w="1559" w:type="dxa"/>
            <w:tcBorders>
              <w:top w:val="single" w:sz="4" w:space="0" w:color="auto"/>
              <w:left w:val="single" w:sz="4" w:space="0" w:color="auto"/>
              <w:bottom w:val="single" w:sz="4" w:space="0" w:color="auto"/>
            </w:tcBorders>
            <w:shd w:val="clear" w:color="auto" w:fill="FFFFFF" w:themeFill="background1"/>
          </w:tcPr>
          <w:p w14:paraId="3F9B49B2" w14:textId="77777777" w:rsidR="001431CE" w:rsidRPr="007D1580" w:rsidRDefault="001431CE" w:rsidP="001431CE">
            <w:pPr>
              <w:pStyle w:val="NoSpacing"/>
            </w:pPr>
            <w:r>
              <w:t>100%</w:t>
            </w:r>
          </w:p>
        </w:tc>
        <w:tc>
          <w:tcPr>
            <w:tcW w:w="1276" w:type="dxa"/>
            <w:shd w:val="clear" w:color="auto" w:fill="FFFFFF" w:themeFill="background1"/>
          </w:tcPr>
          <w:p w14:paraId="436700CA" w14:textId="77777777" w:rsidR="001431CE" w:rsidRPr="008D1FD0" w:rsidRDefault="001431CE" w:rsidP="001431CE">
            <w:pPr>
              <w:pStyle w:val="NoSpacing"/>
            </w:pPr>
            <w:r w:rsidRPr="008D1FD0">
              <w:t xml:space="preserve">Full Target Achieved </w:t>
            </w:r>
          </w:p>
        </w:tc>
        <w:tc>
          <w:tcPr>
            <w:tcW w:w="2148" w:type="dxa"/>
            <w:tcBorders>
              <w:top w:val="single" w:sz="4" w:space="0" w:color="auto"/>
              <w:left w:val="single" w:sz="4" w:space="0" w:color="auto"/>
              <w:bottom w:val="single" w:sz="4" w:space="0" w:color="auto"/>
            </w:tcBorders>
          </w:tcPr>
          <w:p w14:paraId="61961807" w14:textId="77777777" w:rsidR="001431CE" w:rsidRPr="00B64A59" w:rsidRDefault="001431CE" w:rsidP="001431CE">
            <w:pPr>
              <w:pStyle w:val="NoSpacing"/>
            </w:pPr>
          </w:p>
        </w:tc>
      </w:tr>
      <w:tr w:rsidR="001431CE" w:rsidRPr="00B64A59" w14:paraId="16CA328E" w14:textId="77777777" w:rsidTr="0088555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57DF701F" w14:textId="77777777" w:rsidR="001431CE" w:rsidRDefault="001431CE" w:rsidP="001431CE">
            <w:pPr>
              <w:pStyle w:val="NoSpacing"/>
            </w:pPr>
            <w:r>
              <w:t>d.  Transportation Assistance</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31DD4C40" w14:textId="77777777" w:rsidR="001431CE" w:rsidRDefault="001431CE" w:rsidP="001431CE">
            <w:pPr>
              <w:jc w:val="right"/>
              <w:rPr>
                <w:color w:val="000000"/>
              </w:rPr>
            </w:pPr>
            <w:r>
              <w:rPr>
                <w:color w:val="000000"/>
              </w:rPr>
              <w:t>112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1C2F7D0" w14:textId="77777777" w:rsidR="001431CE" w:rsidRDefault="001431CE" w:rsidP="001431CE">
            <w:pPr>
              <w:jc w:val="right"/>
              <w:rPr>
                <w:color w:val="000000"/>
              </w:rPr>
            </w:pPr>
            <w:r>
              <w:rPr>
                <w:color w:val="000000"/>
              </w:rPr>
              <w:t>112</w:t>
            </w:r>
          </w:p>
        </w:tc>
        <w:tc>
          <w:tcPr>
            <w:tcW w:w="1559" w:type="dxa"/>
            <w:tcBorders>
              <w:top w:val="single" w:sz="4" w:space="0" w:color="auto"/>
              <w:left w:val="single" w:sz="4" w:space="0" w:color="auto"/>
              <w:bottom w:val="single" w:sz="4" w:space="0" w:color="auto"/>
            </w:tcBorders>
            <w:shd w:val="clear" w:color="auto" w:fill="FFFFFF" w:themeFill="background1"/>
          </w:tcPr>
          <w:p w14:paraId="7FA9A1C1" w14:textId="77777777" w:rsidR="001431CE" w:rsidRPr="007D1580" w:rsidRDefault="001431CE" w:rsidP="001431CE">
            <w:pPr>
              <w:pStyle w:val="NoSpacing"/>
            </w:pPr>
            <w:r>
              <w:t>100%</w:t>
            </w:r>
          </w:p>
        </w:tc>
        <w:tc>
          <w:tcPr>
            <w:tcW w:w="1276" w:type="dxa"/>
            <w:shd w:val="clear" w:color="auto" w:fill="FFFFFF" w:themeFill="background1"/>
          </w:tcPr>
          <w:p w14:paraId="29AF55FC" w14:textId="77777777" w:rsidR="001431CE" w:rsidRPr="008D1FD0" w:rsidRDefault="001431CE" w:rsidP="001431CE">
            <w:pPr>
              <w:pStyle w:val="NoSpacing"/>
            </w:pPr>
            <w:r w:rsidRPr="008D1FD0">
              <w:t xml:space="preserve">Full Target Achieved </w:t>
            </w:r>
          </w:p>
        </w:tc>
        <w:tc>
          <w:tcPr>
            <w:tcW w:w="2148" w:type="dxa"/>
            <w:tcBorders>
              <w:top w:val="single" w:sz="4" w:space="0" w:color="auto"/>
              <w:left w:val="single" w:sz="4" w:space="0" w:color="auto"/>
              <w:bottom w:val="single" w:sz="4" w:space="0" w:color="auto"/>
            </w:tcBorders>
          </w:tcPr>
          <w:p w14:paraId="46827B8A" w14:textId="77777777" w:rsidR="001431CE" w:rsidRPr="00B64A59" w:rsidRDefault="001431CE" w:rsidP="001431CE">
            <w:pPr>
              <w:pStyle w:val="NoSpacing"/>
            </w:pPr>
          </w:p>
        </w:tc>
      </w:tr>
      <w:tr w:rsidR="001431CE" w:rsidRPr="00B64A59" w14:paraId="21F36677" w14:textId="77777777" w:rsidTr="0088555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60227C2" w14:textId="77777777" w:rsidR="001431CE" w:rsidRDefault="001431CE" w:rsidP="001431CE">
            <w:pPr>
              <w:pStyle w:val="NoSpacing"/>
            </w:pPr>
            <w:r>
              <w:t>e.  Food  Assistance</w:t>
            </w:r>
          </w:p>
        </w:tc>
        <w:tc>
          <w:tcPr>
            <w:tcW w:w="1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7BBC23D3" w14:textId="77777777" w:rsidR="001431CE" w:rsidRDefault="001431CE" w:rsidP="001431CE">
            <w:pPr>
              <w:jc w:val="right"/>
              <w:rPr>
                <w:color w:val="000000"/>
              </w:rPr>
            </w:pPr>
            <w:r>
              <w:rPr>
                <w:color w:val="000000"/>
              </w:rPr>
              <w:t>65</w:t>
            </w:r>
          </w:p>
        </w:tc>
        <w:tc>
          <w:tcPr>
            <w:tcW w:w="1559" w:type="dxa"/>
            <w:tcBorders>
              <w:top w:val="single" w:sz="4" w:space="0" w:color="auto"/>
              <w:left w:val="single" w:sz="4" w:space="0" w:color="auto"/>
            </w:tcBorders>
            <w:shd w:val="clear" w:color="auto" w:fill="FFFFFF" w:themeFill="background1"/>
            <w:vAlign w:val="center"/>
          </w:tcPr>
          <w:p w14:paraId="7BB75A7F" w14:textId="77777777" w:rsidR="001431CE" w:rsidRDefault="001431CE" w:rsidP="001431CE">
            <w:pPr>
              <w:jc w:val="right"/>
              <w:rPr>
                <w:color w:val="000000"/>
              </w:rPr>
            </w:pPr>
            <w:r>
              <w:rPr>
                <w:color w:val="000000"/>
              </w:rPr>
              <w:t>65</w:t>
            </w:r>
          </w:p>
        </w:tc>
        <w:tc>
          <w:tcPr>
            <w:tcW w:w="1559" w:type="dxa"/>
            <w:tcBorders>
              <w:top w:val="single" w:sz="4" w:space="0" w:color="auto"/>
            </w:tcBorders>
            <w:shd w:val="clear" w:color="auto" w:fill="FFFFFF" w:themeFill="background1"/>
          </w:tcPr>
          <w:p w14:paraId="4417BC4A" w14:textId="77777777" w:rsidR="001431CE" w:rsidRPr="007D1580" w:rsidRDefault="001431CE" w:rsidP="001431CE">
            <w:pPr>
              <w:pStyle w:val="NoSpacing"/>
            </w:pPr>
            <w:r>
              <w:t>100%</w:t>
            </w:r>
          </w:p>
        </w:tc>
        <w:tc>
          <w:tcPr>
            <w:tcW w:w="1276" w:type="dxa"/>
            <w:shd w:val="clear" w:color="auto" w:fill="FFFFFF" w:themeFill="background1"/>
          </w:tcPr>
          <w:p w14:paraId="5D9F29FD" w14:textId="77777777" w:rsidR="001431CE" w:rsidRPr="008D1FD0" w:rsidRDefault="001431CE" w:rsidP="001431CE">
            <w:pPr>
              <w:pStyle w:val="NoSpacing"/>
            </w:pPr>
            <w:r w:rsidRPr="008D1FD0">
              <w:t xml:space="preserve">Full Target Achieved </w:t>
            </w:r>
          </w:p>
        </w:tc>
        <w:tc>
          <w:tcPr>
            <w:tcW w:w="2148" w:type="dxa"/>
            <w:tcBorders>
              <w:top w:val="single" w:sz="4" w:space="0" w:color="auto"/>
              <w:left w:val="single" w:sz="4" w:space="0" w:color="auto"/>
              <w:bottom w:val="single" w:sz="4" w:space="0" w:color="auto"/>
            </w:tcBorders>
          </w:tcPr>
          <w:p w14:paraId="3E1AB736" w14:textId="77777777" w:rsidR="001431CE" w:rsidRPr="00B64A59" w:rsidRDefault="001431CE" w:rsidP="001431CE">
            <w:pPr>
              <w:pStyle w:val="NoSpacing"/>
            </w:pPr>
          </w:p>
        </w:tc>
      </w:tr>
      <w:tr w:rsidR="00DD3991" w:rsidRPr="00B64A59" w14:paraId="43FFE3E6"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11AEA086" w14:textId="77777777" w:rsidR="00DD3991" w:rsidRDefault="00DD3991" w:rsidP="00DD3991">
            <w:pPr>
              <w:pStyle w:val="NoSpacing"/>
            </w:pPr>
            <w:r>
              <w:t>f. Other Cash Assistance for Support Services</w:t>
            </w:r>
          </w:p>
        </w:tc>
        <w:tc>
          <w:tcPr>
            <w:tcW w:w="1543" w:type="dxa"/>
            <w:tcBorders>
              <w:left w:val="single" w:sz="4" w:space="0" w:color="auto"/>
            </w:tcBorders>
            <w:shd w:val="clear" w:color="auto" w:fill="FFFFFF" w:themeFill="background1"/>
          </w:tcPr>
          <w:p w14:paraId="7350FE7B" w14:textId="77777777" w:rsidR="00DD3991" w:rsidRDefault="00DD3991" w:rsidP="00DD3991">
            <w:pPr>
              <w:pStyle w:val="NoSpacing"/>
              <w:jc w:val="right"/>
            </w:pPr>
          </w:p>
        </w:tc>
        <w:tc>
          <w:tcPr>
            <w:tcW w:w="1559" w:type="dxa"/>
            <w:tcBorders>
              <w:left w:val="single" w:sz="4" w:space="0" w:color="auto"/>
            </w:tcBorders>
            <w:shd w:val="clear" w:color="auto" w:fill="FFFFFF" w:themeFill="background1"/>
          </w:tcPr>
          <w:p w14:paraId="053FB1AB" w14:textId="77777777" w:rsidR="00DD3991" w:rsidRDefault="00DD3991" w:rsidP="00DD3991">
            <w:pPr>
              <w:pStyle w:val="NoSpacing"/>
              <w:jc w:val="right"/>
            </w:pPr>
          </w:p>
        </w:tc>
        <w:tc>
          <w:tcPr>
            <w:tcW w:w="1559" w:type="dxa"/>
            <w:shd w:val="clear" w:color="auto" w:fill="FFFFFF" w:themeFill="background1"/>
          </w:tcPr>
          <w:p w14:paraId="778F9FB2" w14:textId="77777777" w:rsidR="00DD3991" w:rsidRPr="007D1580" w:rsidRDefault="00DD3991" w:rsidP="00DD3991">
            <w:pPr>
              <w:pStyle w:val="NoSpacing"/>
              <w:jc w:val="right"/>
            </w:pPr>
          </w:p>
        </w:tc>
        <w:tc>
          <w:tcPr>
            <w:tcW w:w="1276" w:type="dxa"/>
            <w:shd w:val="clear" w:color="auto" w:fill="FFFFFF" w:themeFill="background1"/>
          </w:tcPr>
          <w:p w14:paraId="5BEE60CE" w14:textId="77777777" w:rsidR="00DD3991" w:rsidRPr="007D1580" w:rsidRDefault="00DD3991" w:rsidP="00DD3991">
            <w:pPr>
              <w:pStyle w:val="NoSpacing"/>
            </w:pPr>
          </w:p>
        </w:tc>
        <w:tc>
          <w:tcPr>
            <w:tcW w:w="2148" w:type="dxa"/>
            <w:tcBorders>
              <w:top w:val="single" w:sz="4" w:space="0" w:color="auto"/>
              <w:left w:val="single" w:sz="4" w:space="0" w:color="auto"/>
              <w:bottom w:val="single" w:sz="4" w:space="0" w:color="auto"/>
            </w:tcBorders>
          </w:tcPr>
          <w:p w14:paraId="6304A376" w14:textId="77777777" w:rsidR="00DD3991" w:rsidRPr="00B64A59" w:rsidRDefault="00DD3991" w:rsidP="00DD3991">
            <w:pPr>
              <w:pStyle w:val="NoSpacing"/>
            </w:pPr>
          </w:p>
        </w:tc>
      </w:tr>
      <w:tr w:rsidR="00DD3991" w:rsidRPr="00B64A59" w14:paraId="5027041D"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AD6B5F6" w14:textId="77777777" w:rsidR="00DD3991" w:rsidRDefault="00DD3991" w:rsidP="00DD3991">
            <w:pPr>
              <w:pStyle w:val="NoSpacing"/>
            </w:pPr>
            <w:r w:rsidRPr="008915A8">
              <w:t>AICS Served by Client Category</w:t>
            </w:r>
            <w:r>
              <w:t>:</w:t>
            </w:r>
          </w:p>
        </w:tc>
        <w:tc>
          <w:tcPr>
            <w:tcW w:w="1543" w:type="dxa"/>
            <w:tcBorders>
              <w:left w:val="single" w:sz="4" w:space="0" w:color="auto"/>
            </w:tcBorders>
            <w:shd w:val="clear" w:color="auto" w:fill="FFFFFF" w:themeFill="background1"/>
          </w:tcPr>
          <w:p w14:paraId="2A0F7C2E" w14:textId="77777777" w:rsidR="00DD3991" w:rsidRDefault="00DD3991" w:rsidP="00DD3991">
            <w:pPr>
              <w:pStyle w:val="NoSpacing"/>
              <w:jc w:val="right"/>
            </w:pPr>
          </w:p>
        </w:tc>
        <w:tc>
          <w:tcPr>
            <w:tcW w:w="1559" w:type="dxa"/>
            <w:tcBorders>
              <w:left w:val="single" w:sz="4" w:space="0" w:color="auto"/>
            </w:tcBorders>
            <w:shd w:val="clear" w:color="auto" w:fill="FFFFFF" w:themeFill="background1"/>
          </w:tcPr>
          <w:p w14:paraId="2F1BB413" w14:textId="77777777" w:rsidR="00DD3991" w:rsidRPr="00025FCF" w:rsidRDefault="00DD3991" w:rsidP="00DD3991">
            <w:pPr>
              <w:pStyle w:val="NoSpacing"/>
              <w:jc w:val="right"/>
            </w:pPr>
          </w:p>
        </w:tc>
        <w:tc>
          <w:tcPr>
            <w:tcW w:w="1559" w:type="dxa"/>
            <w:shd w:val="clear" w:color="auto" w:fill="FFFFFF" w:themeFill="background1"/>
          </w:tcPr>
          <w:p w14:paraId="54D7FBB1" w14:textId="77777777" w:rsidR="00DD3991" w:rsidRDefault="00DD3991" w:rsidP="00DD3991">
            <w:pPr>
              <w:pStyle w:val="NoSpacing"/>
              <w:jc w:val="right"/>
            </w:pPr>
          </w:p>
        </w:tc>
        <w:tc>
          <w:tcPr>
            <w:tcW w:w="1276" w:type="dxa"/>
            <w:shd w:val="clear" w:color="auto" w:fill="FFFFFF" w:themeFill="background1"/>
          </w:tcPr>
          <w:p w14:paraId="7CDF9761" w14:textId="77777777" w:rsidR="00DD3991" w:rsidRPr="007D1580" w:rsidRDefault="00DD3991" w:rsidP="00DD3991">
            <w:pPr>
              <w:pStyle w:val="NoSpacing"/>
            </w:pPr>
          </w:p>
        </w:tc>
        <w:tc>
          <w:tcPr>
            <w:tcW w:w="2148" w:type="dxa"/>
            <w:tcBorders>
              <w:top w:val="single" w:sz="4" w:space="0" w:color="auto"/>
              <w:left w:val="single" w:sz="4" w:space="0" w:color="auto"/>
              <w:bottom w:val="single" w:sz="4" w:space="0" w:color="auto"/>
            </w:tcBorders>
          </w:tcPr>
          <w:p w14:paraId="28BF5B87" w14:textId="77777777" w:rsidR="00DD3991" w:rsidRPr="00B64A59" w:rsidRDefault="00DD3991" w:rsidP="00DD3991">
            <w:pPr>
              <w:pStyle w:val="NoSpacing"/>
            </w:pPr>
          </w:p>
        </w:tc>
      </w:tr>
      <w:tr w:rsidR="00181C76" w:rsidRPr="00B64A59" w14:paraId="5248354A"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03D59D9D" w14:textId="77777777" w:rsidR="00181C76" w:rsidRDefault="00181C76" w:rsidP="00181C76">
            <w:pPr>
              <w:rPr>
                <w:color w:val="000000"/>
              </w:rPr>
            </w:pPr>
            <w:r>
              <w:rPr>
                <w:color w:val="000000"/>
              </w:rPr>
              <w:t>Family Head and Other Needy Adult (FHONA)</w:t>
            </w:r>
          </w:p>
        </w:tc>
        <w:tc>
          <w:tcPr>
            <w:tcW w:w="1543" w:type="dxa"/>
            <w:tcBorders>
              <w:top w:val="single" w:sz="4" w:space="0" w:color="000000"/>
              <w:left w:val="single" w:sz="4" w:space="0" w:color="000000"/>
              <w:bottom w:val="single" w:sz="4" w:space="0" w:color="auto"/>
              <w:right w:val="single" w:sz="4" w:space="0" w:color="000000"/>
            </w:tcBorders>
            <w:shd w:val="clear" w:color="auto" w:fill="auto"/>
            <w:vAlign w:val="center"/>
          </w:tcPr>
          <w:p w14:paraId="350C31AE" w14:textId="77777777" w:rsidR="00181C76" w:rsidRDefault="00181C76" w:rsidP="00181C76">
            <w:pPr>
              <w:jc w:val="right"/>
              <w:rPr>
                <w:color w:val="000000"/>
              </w:rPr>
            </w:pPr>
            <w:r>
              <w:rPr>
                <w:color w:val="000000"/>
              </w:rPr>
              <w:t>38,475</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2FDAA90B" w14:textId="77777777" w:rsidR="00181C76" w:rsidRDefault="00181C76" w:rsidP="00181C76">
            <w:pPr>
              <w:jc w:val="right"/>
              <w:rPr>
                <w:color w:val="000000"/>
              </w:rPr>
            </w:pPr>
            <w:r>
              <w:rPr>
                <w:color w:val="000000"/>
              </w:rPr>
              <w:t>38,475</w:t>
            </w:r>
          </w:p>
        </w:tc>
        <w:tc>
          <w:tcPr>
            <w:tcW w:w="1559" w:type="dxa"/>
            <w:tcBorders>
              <w:bottom w:val="single" w:sz="4" w:space="0" w:color="auto"/>
            </w:tcBorders>
            <w:shd w:val="clear" w:color="auto" w:fill="FFFFFF" w:themeFill="background1"/>
          </w:tcPr>
          <w:p w14:paraId="7293D3C0" w14:textId="77777777" w:rsidR="00181C76" w:rsidRDefault="00181C76" w:rsidP="00181C76">
            <w:r w:rsidRPr="00684496">
              <w:t>100%</w:t>
            </w:r>
          </w:p>
        </w:tc>
        <w:tc>
          <w:tcPr>
            <w:tcW w:w="1276" w:type="dxa"/>
            <w:shd w:val="clear" w:color="auto" w:fill="FFFFFF" w:themeFill="background1"/>
          </w:tcPr>
          <w:p w14:paraId="2C2F54E7" w14:textId="77777777" w:rsidR="00181C76" w:rsidRDefault="00181C76" w:rsidP="00181C76">
            <w:r w:rsidRPr="00983A33">
              <w:t xml:space="preserve">Full Target Achieved </w:t>
            </w:r>
          </w:p>
        </w:tc>
        <w:tc>
          <w:tcPr>
            <w:tcW w:w="2148" w:type="dxa"/>
            <w:tcBorders>
              <w:top w:val="single" w:sz="4" w:space="0" w:color="auto"/>
              <w:left w:val="single" w:sz="4" w:space="0" w:color="auto"/>
              <w:bottom w:val="single" w:sz="4" w:space="0" w:color="auto"/>
            </w:tcBorders>
          </w:tcPr>
          <w:p w14:paraId="2ED8E7FA" w14:textId="77777777" w:rsidR="00181C76" w:rsidRPr="00B64A59" w:rsidRDefault="00181C76" w:rsidP="00181C76">
            <w:pPr>
              <w:pStyle w:val="NoSpacing"/>
            </w:pPr>
          </w:p>
        </w:tc>
      </w:tr>
      <w:tr w:rsidR="00181C76" w:rsidRPr="00B64A59" w14:paraId="60DE1F02"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37313F0F" w14:textId="77777777" w:rsidR="00181C76" w:rsidRDefault="00181C76" w:rsidP="00181C76">
            <w:pPr>
              <w:rPr>
                <w:color w:val="000000"/>
              </w:rPr>
            </w:pPr>
            <w:r>
              <w:rPr>
                <w:color w:val="000000"/>
              </w:rPr>
              <w:t>Women in Especially Difficult Circumstances (WEDC)</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774D00DB" w14:textId="77777777" w:rsidR="00181C76" w:rsidRDefault="00181C76" w:rsidP="00181C76">
            <w:pPr>
              <w:jc w:val="right"/>
              <w:rPr>
                <w:color w:val="000000"/>
              </w:rPr>
            </w:pPr>
            <w:r>
              <w:rPr>
                <w:color w:val="000000"/>
              </w:rPr>
              <w:t>43,354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26CCAA" w14:textId="77777777" w:rsidR="00181C76" w:rsidRDefault="00181C76" w:rsidP="00181C76">
            <w:pPr>
              <w:jc w:val="right"/>
              <w:rPr>
                <w:color w:val="000000"/>
              </w:rPr>
            </w:pPr>
            <w:r>
              <w:rPr>
                <w:color w:val="000000"/>
              </w:rPr>
              <w:t>43,354</w:t>
            </w:r>
          </w:p>
        </w:tc>
        <w:tc>
          <w:tcPr>
            <w:tcW w:w="1559" w:type="dxa"/>
            <w:tcBorders>
              <w:top w:val="single" w:sz="4" w:space="0" w:color="auto"/>
              <w:left w:val="single" w:sz="4" w:space="0" w:color="auto"/>
              <w:bottom w:val="single" w:sz="4" w:space="0" w:color="auto"/>
            </w:tcBorders>
            <w:shd w:val="clear" w:color="auto" w:fill="FFFFFF" w:themeFill="background1"/>
          </w:tcPr>
          <w:p w14:paraId="4B868061" w14:textId="77777777" w:rsidR="00181C76" w:rsidRDefault="00181C76" w:rsidP="00181C76">
            <w:r w:rsidRPr="00684496">
              <w:t>100%</w:t>
            </w:r>
          </w:p>
        </w:tc>
        <w:tc>
          <w:tcPr>
            <w:tcW w:w="1276" w:type="dxa"/>
            <w:shd w:val="clear" w:color="auto" w:fill="FFFFFF" w:themeFill="background1"/>
          </w:tcPr>
          <w:p w14:paraId="01F7F54A" w14:textId="77777777" w:rsidR="00181C76" w:rsidRDefault="00181C76" w:rsidP="00181C76">
            <w:r w:rsidRPr="00983A33">
              <w:t xml:space="preserve">Full Target Achieved </w:t>
            </w:r>
          </w:p>
        </w:tc>
        <w:tc>
          <w:tcPr>
            <w:tcW w:w="2148" w:type="dxa"/>
            <w:tcBorders>
              <w:top w:val="single" w:sz="4" w:space="0" w:color="auto"/>
              <w:left w:val="single" w:sz="4" w:space="0" w:color="auto"/>
              <w:bottom w:val="single" w:sz="4" w:space="0" w:color="auto"/>
            </w:tcBorders>
          </w:tcPr>
          <w:p w14:paraId="2089C883" w14:textId="77777777" w:rsidR="00181C76" w:rsidRPr="00B64A59" w:rsidRDefault="00181C76" w:rsidP="00181C76">
            <w:pPr>
              <w:pStyle w:val="NoSpacing"/>
            </w:pPr>
          </w:p>
        </w:tc>
      </w:tr>
      <w:tr w:rsidR="00181C76" w:rsidRPr="00B64A59" w14:paraId="7B635C33"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4588344" w14:textId="77777777" w:rsidR="00181C76" w:rsidRDefault="00181C76" w:rsidP="00181C76">
            <w:pPr>
              <w:rPr>
                <w:color w:val="000000"/>
              </w:rPr>
            </w:pPr>
            <w:r>
              <w:rPr>
                <w:color w:val="000000"/>
              </w:rPr>
              <w:t>Children in Need of Special Protection (CNSP)</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12B0A4FE" w14:textId="77777777" w:rsidR="00181C76" w:rsidRDefault="00181C76" w:rsidP="00181C76">
            <w:pPr>
              <w:jc w:val="right"/>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B65D39" w14:textId="77777777" w:rsidR="00181C76" w:rsidRDefault="00181C76" w:rsidP="00181C76">
            <w:pPr>
              <w:jc w:val="right"/>
              <w:rPr>
                <w:color w:val="000000"/>
              </w:rPr>
            </w:pPr>
            <w:r>
              <w:rPr>
                <w:color w:val="000000"/>
              </w:rPr>
              <w:t>121</w:t>
            </w:r>
          </w:p>
        </w:tc>
        <w:tc>
          <w:tcPr>
            <w:tcW w:w="1559" w:type="dxa"/>
            <w:tcBorders>
              <w:top w:val="single" w:sz="4" w:space="0" w:color="auto"/>
              <w:left w:val="single" w:sz="4" w:space="0" w:color="auto"/>
              <w:bottom w:val="single" w:sz="4" w:space="0" w:color="auto"/>
            </w:tcBorders>
            <w:shd w:val="clear" w:color="auto" w:fill="FFFFFF" w:themeFill="background1"/>
          </w:tcPr>
          <w:p w14:paraId="782308FA" w14:textId="77777777" w:rsidR="00181C76" w:rsidRDefault="00181C76" w:rsidP="00181C76">
            <w:r w:rsidRPr="00684496">
              <w:t>100%</w:t>
            </w:r>
          </w:p>
        </w:tc>
        <w:tc>
          <w:tcPr>
            <w:tcW w:w="1276" w:type="dxa"/>
            <w:shd w:val="clear" w:color="auto" w:fill="FFFFFF" w:themeFill="background1"/>
          </w:tcPr>
          <w:p w14:paraId="731C64A4" w14:textId="77777777" w:rsidR="00181C76" w:rsidRDefault="00181C76" w:rsidP="00181C76">
            <w:r w:rsidRPr="00983A33">
              <w:t xml:space="preserve">Full Target Achieved </w:t>
            </w:r>
          </w:p>
        </w:tc>
        <w:tc>
          <w:tcPr>
            <w:tcW w:w="2148" w:type="dxa"/>
            <w:shd w:val="clear" w:color="auto" w:fill="FFFFFF" w:themeFill="background1"/>
          </w:tcPr>
          <w:p w14:paraId="234DD14E" w14:textId="77777777" w:rsidR="00181C76" w:rsidRPr="007D1580" w:rsidRDefault="00181C76" w:rsidP="00181C76">
            <w:pPr>
              <w:pStyle w:val="NoSpacing"/>
            </w:pPr>
          </w:p>
        </w:tc>
      </w:tr>
      <w:tr w:rsidR="00181C76" w:rsidRPr="00B64A59" w14:paraId="79213097"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DD4F994" w14:textId="77777777" w:rsidR="00181C76" w:rsidRDefault="00181C76" w:rsidP="00181C76">
            <w:pPr>
              <w:rPr>
                <w:color w:val="000000"/>
              </w:rPr>
            </w:pPr>
            <w:r>
              <w:rPr>
                <w:color w:val="000000"/>
              </w:rPr>
              <w:t>Youth in Need of Special Protection (YNSP)</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5E776FB7" w14:textId="77777777" w:rsidR="00181C76" w:rsidRDefault="00181C76" w:rsidP="00181C76">
            <w:pPr>
              <w:jc w:val="right"/>
              <w:rPr>
                <w:color w:val="000000"/>
              </w:rPr>
            </w:pPr>
            <w:r>
              <w:rPr>
                <w:color w:val="000000"/>
              </w:rPr>
              <w:t>18,794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05AE3A" w14:textId="77777777" w:rsidR="00181C76" w:rsidRDefault="00181C76" w:rsidP="00181C76">
            <w:pPr>
              <w:jc w:val="right"/>
              <w:rPr>
                <w:color w:val="000000"/>
              </w:rPr>
            </w:pPr>
            <w:r>
              <w:rPr>
                <w:color w:val="000000"/>
              </w:rPr>
              <w:t>18,794</w:t>
            </w:r>
          </w:p>
        </w:tc>
        <w:tc>
          <w:tcPr>
            <w:tcW w:w="1559" w:type="dxa"/>
            <w:tcBorders>
              <w:top w:val="single" w:sz="4" w:space="0" w:color="auto"/>
              <w:left w:val="single" w:sz="4" w:space="0" w:color="auto"/>
              <w:bottom w:val="single" w:sz="4" w:space="0" w:color="auto"/>
            </w:tcBorders>
            <w:shd w:val="clear" w:color="auto" w:fill="FFFFFF" w:themeFill="background1"/>
          </w:tcPr>
          <w:p w14:paraId="1FF9AC62" w14:textId="77777777" w:rsidR="00181C76" w:rsidRDefault="00181C76" w:rsidP="00181C76">
            <w:r w:rsidRPr="00684496">
              <w:t>100%</w:t>
            </w:r>
          </w:p>
        </w:tc>
        <w:tc>
          <w:tcPr>
            <w:tcW w:w="1276" w:type="dxa"/>
            <w:shd w:val="clear" w:color="auto" w:fill="FFFFFF" w:themeFill="background1"/>
          </w:tcPr>
          <w:p w14:paraId="4856DFC0" w14:textId="77777777" w:rsidR="00181C76" w:rsidRDefault="00181C76" w:rsidP="00181C76">
            <w:r w:rsidRPr="00983A33">
              <w:t xml:space="preserve">Full Target Achieved </w:t>
            </w:r>
          </w:p>
        </w:tc>
        <w:tc>
          <w:tcPr>
            <w:tcW w:w="2148" w:type="dxa"/>
            <w:shd w:val="clear" w:color="auto" w:fill="FFFFFF" w:themeFill="background1"/>
          </w:tcPr>
          <w:p w14:paraId="47D2B2C6" w14:textId="77777777" w:rsidR="00181C76" w:rsidRPr="007D1580" w:rsidRDefault="00181C76" w:rsidP="00181C76">
            <w:pPr>
              <w:pStyle w:val="NoSpacing"/>
            </w:pPr>
          </w:p>
        </w:tc>
      </w:tr>
      <w:tr w:rsidR="00181C76" w:rsidRPr="00B64A59" w14:paraId="78F994B3"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095208D2" w14:textId="77777777" w:rsidR="00181C76" w:rsidRDefault="00181C76" w:rsidP="00181C76">
            <w:pPr>
              <w:rPr>
                <w:color w:val="000000"/>
              </w:rPr>
            </w:pPr>
            <w:r>
              <w:rPr>
                <w:color w:val="000000"/>
              </w:rPr>
              <w:t>Senior Citizen (SC)</w:t>
            </w:r>
          </w:p>
        </w:tc>
        <w:tc>
          <w:tcPr>
            <w:tcW w:w="1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2B290C6C" w14:textId="77777777" w:rsidR="00181C76" w:rsidRDefault="00181C76" w:rsidP="00181C76">
            <w:pPr>
              <w:jc w:val="right"/>
              <w:rPr>
                <w:color w:val="000000"/>
              </w:rPr>
            </w:pPr>
            <w:r>
              <w:rPr>
                <w:color w:val="000000"/>
              </w:rPr>
              <w:t>23,336</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60CE648C" w14:textId="77777777" w:rsidR="00181C76" w:rsidRDefault="00181C76" w:rsidP="00181C76">
            <w:pPr>
              <w:jc w:val="right"/>
              <w:rPr>
                <w:color w:val="000000"/>
              </w:rPr>
            </w:pPr>
            <w:r>
              <w:rPr>
                <w:color w:val="000000"/>
              </w:rPr>
              <w:t>23,336</w:t>
            </w:r>
          </w:p>
        </w:tc>
        <w:tc>
          <w:tcPr>
            <w:tcW w:w="1559" w:type="dxa"/>
            <w:tcBorders>
              <w:top w:val="single" w:sz="4" w:space="0" w:color="auto"/>
            </w:tcBorders>
            <w:shd w:val="clear" w:color="auto" w:fill="FFFFFF" w:themeFill="background1"/>
          </w:tcPr>
          <w:p w14:paraId="68F43C7A" w14:textId="77777777" w:rsidR="00181C76" w:rsidRDefault="00181C76" w:rsidP="00181C76">
            <w:r w:rsidRPr="00684496">
              <w:t>100%</w:t>
            </w:r>
          </w:p>
        </w:tc>
        <w:tc>
          <w:tcPr>
            <w:tcW w:w="1276" w:type="dxa"/>
            <w:shd w:val="clear" w:color="auto" w:fill="FFFFFF" w:themeFill="background1"/>
          </w:tcPr>
          <w:p w14:paraId="7CC10A8E" w14:textId="77777777" w:rsidR="00181C76" w:rsidRDefault="00181C76" w:rsidP="00181C76">
            <w:r w:rsidRPr="00983A33">
              <w:t xml:space="preserve">Full Target Achieved </w:t>
            </w:r>
          </w:p>
        </w:tc>
        <w:tc>
          <w:tcPr>
            <w:tcW w:w="2148" w:type="dxa"/>
            <w:shd w:val="clear" w:color="auto" w:fill="FFFFFF" w:themeFill="background1"/>
          </w:tcPr>
          <w:p w14:paraId="14BEDB8E" w14:textId="77777777" w:rsidR="00181C76" w:rsidRPr="007D1580" w:rsidRDefault="00181C76" w:rsidP="00181C76">
            <w:pPr>
              <w:pStyle w:val="NoSpacing"/>
            </w:pPr>
          </w:p>
        </w:tc>
      </w:tr>
      <w:tr w:rsidR="00181C76" w:rsidRPr="00B64A59" w14:paraId="02B55BCE"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19CA871F" w14:textId="77777777" w:rsidR="00181C76" w:rsidRDefault="00181C76" w:rsidP="00181C76">
            <w:pPr>
              <w:rPr>
                <w:color w:val="000000"/>
              </w:rPr>
            </w:pPr>
            <w:r>
              <w:rPr>
                <w:color w:val="000000"/>
              </w:rPr>
              <w:t>Persons With Disability (PWD)</w:t>
            </w:r>
          </w:p>
        </w:tc>
        <w:tc>
          <w:tcPr>
            <w:tcW w:w="1543" w:type="dxa"/>
            <w:tcBorders>
              <w:top w:val="nil"/>
              <w:left w:val="single" w:sz="4" w:space="0" w:color="000000"/>
              <w:bottom w:val="single" w:sz="4" w:space="0" w:color="000000"/>
              <w:right w:val="single" w:sz="4" w:space="0" w:color="000000"/>
            </w:tcBorders>
            <w:shd w:val="clear" w:color="auto" w:fill="auto"/>
            <w:vAlign w:val="center"/>
          </w:tcPr>
          <w:p w14:paraId="09AE7FEA" w14:textId="77777777" w:rsidR="00181C76" w:rsidRDefault="00181C76" w:rsidP="00181C76">
            <w:pPr>
              <w:jc w:val="right"/>
              <w:rPr>
                <w:color w:val="000000"/>
              </w:rPr>
            </w:pPr>
            <w:r>
              <w:rPr>
                <w:color w:val="000000"/>
              </w:rPr>
              <w:t>81</w:t>
            </w:r>
          </w:p>
        </w:tc>
        <w:tc>
          <w:tcPr>
            <w:tcW w:w="1559" w:type="dxa"/>
            <w:tcBorders>
              <w:top w:val="nil"/>
              <w:left w:val="single" w:sz="4" w:space="0" w:color="000000"/>
              <w:bottom w:val="single" w:sz="4" w:space="0" w:color="000000"/>
              <w:right w:val="single" w:sz="4" w:space="0" w:color="000000"/>
            </w:tcBorders>
            <w:shd w:val="clear" w:color="auto" w:fill="auto"/>
            <w:vAlign w:val="center"/>
          </w:tcPr>
          <w:p w14:paraId="066DEAB6" w14:textId="77777777" w:rsidR="00181C76" w:rsidRDefault="00181C76" w:rsidP="00181C76">
            <w:pPr>
              <w:jc w:val="right"/>
              <w:rPr>
                <w:color w:val="000000"/>
              </w:rPr>
            </w:pPr>
            <w:r>
              <w:rPr>
                <w:color w:val="000000"/>
              </w:rPr>
              <w:t>81</w:t>
            </w:r>
          </w:p>
        </w:tc>
        <w:tc>
          <w:tcPr>
            <w:tcW w:w="1559" w:type="dxa"/>
            <w:shd w:val="clear" w:color="auto" w:fill="FFFFFF" w:themeFill="background1"/>
          </w:tcPr>
          <w:p w14:paraId="41D1EC28" w14:textId="77777777" w:rsidR="00181C76" w:rsidRDefault="00181C76" w:rsidP="00181C76">
            <w:r w:rsidRPr="00684496">
              <w:t>100%</w:t>
            </w:r>
          </w:p>
        </w:tc>
        <w:tc>
          <w:tcPr>
            <w:tcW w:w="1276" w:type="dxa"/>
            <w:shd w:val="clear" w:color="auto" w:fill="FFFFFF" w:themeFill="background1"/>
          </w:tcPr>
          <w:p w14:paraId="2D5DA288" w14:textId="77777777" w:rsidR="00181C76" w:rsidRDefault="00181C76" w:rsidP="00181C76">
            <w:r w:rsidRPr="00983A33">
              <w:t xml:space="preserve">Full Target Achieved </w:t>
            </w:r>
          </w:p>
        </w:tc>
        <w:tc>
          <w:tcPr>
            <w:tcW w:w="2148" w:type="dxa"/>
            <w:shd w:val="clear" w:color="auto" w:fill="FFFFFF" w:themeFill="background1"/>
          </w:tcPr>
          <w:p w14:paraId="7C3119BD" w14:textId="77777777" w:rsidR="00181C76" w:rsidRPr="007D1580" w:rsidRDefault="00181C76" w:rsidP="00181C76">
            <w:pPr>
              <w:pStyle w:val="NoSpacing"/>
            </w:pPr>
          </w:p>
        </w:tc>
      </w:tr>
      <w:tr w:rsidR="00181C76" w:rsidRPr="00B64A59" w14:paraId="2C868F02"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028F8FEF" w14:textId="77777777" w:rsidR="00181C76" w:rsidRDefault="00181C76" w:rsidP="00181C76">
            <w:pPr>
              <w:rPr>
                <w:color w:val="000000"/>
              </w:rPr>
            </w:pPr>
            <w:r>
              <w:rPr>
                <w:color w:val="000000"/>
              </w:rPr>
              <w:t>Persons Living with HIV-AIDS (PLHIV)</w:t>
            </w:r>
          </w:p>
        </w:tc>
        <w:tc>
          <w:tcPr>
            <w:tcW w:w="1543" w:type="dxa"/>
            <w:tcBorders>
              <w:top w:val="nil"/>
              <w:left w:val="single" w:sz="4" w:space="0" w:color="000000"/>
              <w:bottom w:val="single" w:sz="4" w:space="0" w:color="000000"/>
              <w:right w:val="single" w:sz="4" w:space="0" w:color="000000"/>
            </w:tcBorders>
            <w:shd w:val="clear" w:color="auto" w:fill="auto"/>
            <w:vAlign w:val="center"/>
          </w:tcPr>
          <w:p w14:paraId="589169BD" w14:textId="77777777" w:rsidR="00181C76" w:rsidRDefault="00181C76" w:rsidP="00181C76">
            <w:pPr>
              <w:jc w:val="right"/>
              <w:rPr>
                <w:color w:val="000000"/>
              </w:rPr>
            </w:pPr>
            <w:r>
              <w:rPr>
                <w:color w:val="000000"/>
              </w:rPr>
              <w:t>101</w:t>
            </w:r>
          </w:p>
        </w:tc>
        <w:tc>
          <w:tcPr>
            <w:tcW w:w="1559" w:type="dxa"/>
            <w:tcBorders>
              <w:top w:val="nil"/>
              <w:left w:val="single" w:sz="4" w:space="0" w:color="000000"/>
              <w:bottom w:val="single" w:sz="4" w:space="0" w:color="000000"/>
              <w:right w:val="single" w:sz="4" w:space="0" w:color="000000"/>
            </w:tcBorders>
            <w:shd w:val="clear" w:color="auto" w:fill="auto"/>
            <w:vAlign w:val="center"/>
          </w:tcPr>
          <w:p w14:paraId="5D92650D" w14:textId="77777777" w:rsidR="00181C76" w:rsidRDefault="00181C76" w:rsidP="00181C76">
            <w:pPr>
              <w:jc w:val="right"/>
              <w:rPr>
                <w:color w:val="000000"/>
              </w:rPr>
            </w:pPr>
            <w:r>
              <w:rPr>
                <w:color w:val="000000"/>
              </w:rPr>
              <w:t>101</w:t>
            </w:r>
          </w:p>
        </w:tc>
        <w:tc>
          <w:tcPr>
            <w:tcW w:w="1559" w:type="dxa"/>
            <w:shd w:val="clear" w:color="auto" w:fill="FFFFFF" w:themeFill="background1"/>
          </w:tcPr>
          <w:p w14:paraId="543B7D69" w14:textId="77777777" w:rsidR="00181C76" w:rsidRDefault="00181C76" w:rsidP="00181C76">
            <w:r w:rsidRPr="00684496">
              <w:t>100%</w:t>
            </w:r>
          </w:p>
        </w:tc>
        <w:tc>
          <w:tcPr>
            <w:tcW w:w="1276" w:type="dxa"/>
            <w:shd w:val="clear" w:color="auto" w:fill="FFFFFF" w:themeFill="background1"/>
          </w:tcPr>
          <w:p w14:paraId="09470F3F" w14:textId="77777777" w:rsidR="00181C76" w:rsidRDefault="00181C76" w:rsidP="00181C76">
            <w:r w:rsidRPr="00983A33">
              <w:t xml:space="preserve">Full Target Achieved </w:t>
            </w:r>
          </w:p>
        </w:tc>
        <w:tc>
          <w:tcPr>
            <w:tcW w:w="2148" w:type="dxa"/>
            <w:shd w:val="clear" w:color="auto" w:fill="FFFFFF" w:themeFill="background1"/>
          </w:tcPr>
          <w:p w14:paraId="06209F29" w14:textId="77777777" w:rsidR="00181C76" w:rsidRPr="00181C76" w:rsidRDefault="00181C76" w:rsidP="00460F3C">
            <w:pPr>
              <w:pStyle w:val="NoSpacing"/>
              <w:jc w:val="both"/>
            </w:pPr>
            <w:r w:rsidRPr="00181C76">
              <w:rPr>
                <w:color w:val="000000"/>
                <w:shd w:val="clear" w:color="auto" w:fill="FFFFFF"/>
              </w:rPr>
              <w:t xml:space="preserve">A total of </w:t>
            </w:r>
            <w:r w:rsidR="00460F3C">
              <w:rPr>
                <w:color w:val="000000"/>
                <w:shd w:val="clear" w:color="auto" w:fill="FFFFFF"/>
              </w:rPr>
              <w:t xml:space="preserve">Php </w:t>
            </w:r>
            <w:r w:rsidRPr="00181C76">
              <w:rPr>
                <w:color w:val="000000"/>
                <w:shd w:val="clear" w:color="auto" w:fill="FFFFFF"/>
              </w:rPr>
              <w:t>668,000 was provided to PLHIV in the form of financial assistance</w:t>
            </w:r>
            <w:r w:rsidR="00460F3C">
              <w:rPr>
                <w:color w:val="000000"/>
                <w:shd w:val="clear" w:color="auto" w:fill="FFFFFF"/>
              </w:rPr>
              <w:t xml:space="preserve">. Psychosocial assistance was also provided. </w:t>
            </w:r>
            <w:r w:rsidRPr="00181C76">
              <w:rPr>
                <w:color w:val="000000"/>
                <w:shd w:val="clear" w:color="auto" w:fill="FFFFFF"/>
              </w:rPr>
              <w:t xml:space="preserve"> </w:t>
            </w:r>
          </w:p>
        </w:tc>
      </w:tr>
      <w:tr w:rsidR="00DD3991" w:rsidRPr="00B64A59" w14:paraId="5FB86D81" w14:textId="77777777" w:rsidTr="0068148D">
        <w:trPr>
          <w:trHeight w:val="189"/>
        </w:trPr>
        <w:tc>
          <w:tcPr>
            <w:tcW w:w="10365" w:type="dxa"/>
            <w:gridSpan w:val="6"/>
            <w:tcBorders>
              <w:top w:val="single" w:sz="4" w:space="0" w:color="auto"/>
              <w:left w:val="single" w:sz="4" w:space="0" w:color="auto"/>
              <w:bottom w:val="single" w:sz="4" w:space="0" w:color="auto"/>
            </w:tcBorders>
            <w:shd w:val="clear" w:color="auto" w:fill="DEEAF6" w:themeFill="accent1" w:themeFillTint="33"/>
            <w:vAlign w:val="center"/>
          </w:tcPr>
          <w:p w14:paraId="41291286" w14:textId="77777777" w:rsidR="00DD3991" w:rsidRPr="005F6194" w:rsidRDefault="00DD3991" w:rsidP="00DD3991">
            <w:pPr>
              <w:pStyle w:val="NoSpacing"/>
              <w:rPr>
                <w:b/>
              </w:rPr>
            </w:pPr>
            <w:r w:rsidRPr="005F6194">
              <w:rPr>
                <w:b/>
              </w:rPr>
              <w:t>Alternative Family Care Program</w:t>
            </w:r>
          </w:p>
        </w:tc>
      </w:tr>
      <w:tr w:rsidR="00DD3991" w:rsidRPr="00B64A59" w14:paraId="16C5AF7E" w14:textId="77777777" w:rsidTr="00DF371E">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14DCB00" w14:textId="77777777" w:rsidR="00DD3991" w:rsidRPr="00FE1E9B" w:rsidRDefault="00DD3991" w:rsidP="00DD3991">
            <w:pPr>
              <w:rPr>
                <w:color w:val="000000"/>
              </w:rPr>
            </w:pPr>
            <w:r>
              <w:rPr>
                <w:color w:val="000000"/>
              </w:rPr>
              <w:t xml:space="preserve">2.15. </w:t>
            </w:r>
            <w:r w:rsidRPr="003019B5">
              <w:rPr>
                <w:color w:val="000000"/>
              </w:rPr>
              <w:t xml:space="preserve">Number of children served </w:t>
            </w:r>
            <w:r w:rsidRPr="003019B5">
              <w:rPr>
                <w:color w:val="000000"/>
              </w:rPr>
              <w:lastRenderedPageBreak/>
              <w:t>through Alternative Family Care Program</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6071905F" w14:textId="77777777" w:rsidR="00DD3991" w:rsidRDefault="00DD3991" w:rsidP="00DD3991">
            <w:pPr>
              <w:jc w:val="right"/>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BC7063" w14:textId="77777777" w:rsidR="00DD3991" w:rsidRDefault="00DD3991" w:rsidP="00DD3991">
            <w:pPr>
              <w:jc w:val="right"/>
              <w:rPr>
                <w:color w:val="000000"/>
              </w:rPr>
            </w:pPr>
          </w:p>
        </w:tc>
        <w:tc>
          <w:tcPr>
            <w:tcW w:w="1559" w:type="dxa"/>
            <w:tcBorders>
              <w:top w:val="single" w:sz="4" w:space="0" w:color="auto"/>
              <w:left w:val="single" w:sz="4" w:space="0" w:color="auto"/>
              <w:bottom w:val="single" w:sz="4" w:space="0" w:color="auto"/>
            </w:tcBorders>
            <w:shd w:val="clear" w:color="auto" w:fill="FFFFFF" w:themeFill="background1"/>
          </w:tcPr>
          <w:p w14:paraId="7B308B09" w14:textId="77777777" w:rsidR="00DD3991" w:rsidRDefault="00DD3991" w:rsidP="00DD3991">
            <w:pPr>
              <w:pStyle w:val="NoSpacing"/>
              <w:jc w:val="right"/>
            </w:pPr>
          </w:p>
        </w:tc>
        <w:tc>
          <w:tcPr>
            <w:tcW w:w="1276" w:type="dxa"/>
            <w:shd w:val="clear" w:color="auto" w:fill="FFFFFF" w:themeFill="background1"/>
          </w:tcPr>
          <w:p w14:paraId="1052C8E4" w14:textId="77777777" w:rsidR="00DD3991" w:rsidRDefault="00DD3991" w:rsidP="00DD3991">
            <w:pPr>
              <w:pStyle w:val="NoSpacing"/>
            </w:pPr>
          </w:p>
        </w:tc>
        <w:tc>
          <w:tcPr>
            <w:tcW w:w="2148" w:type="dxa"/>
            <w:shd w:val="clear" w:color="auto" w:fill="FFFFFF" w:themeFill="background1"/>
          </w:tcPr>
          <w:p w14:paraId="52F1869A" w14:textId="77777777" w:rsidR="00DD3991" w:rsidRPr="007D1580" w:rsidRDefault="00DD3991" w:rsidP="00DD3991">
            <w:pPr>
              <w:pStyle w:val="NoSpacing"/>
            </w:pPr>
          </w:p>
        </w:tc>
      </w:tr>
      <w:tr w:rsidR="00A870D8" w:rsidRPr="00B64A59" w14:paraId="65D3A2AB" w14:textId="77777777" w:rsidTr="003C74D7">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EA3DAE" w14:textId="77777777" w:rsidR="00A870D8" w:rsidRDefault="00A870D8" w:rsidP="00A870D8">
            <w:pPr>
              <w:rPr>
                <w:color w:val="000000"/>
              </w:rPr>
            </w:pPr>
            <w:r>
              <w:rPr>
                <w:color w:val="000000"/>
              </w:rPr>
              <w:lastRenderedPageBreak/>
              <w:t>a. Number of children issued with CDLAA</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0D4D0BF0" w14:textId="77777777" w:rsidR="00A870D8" w:rsidRDefault="00A870D8" w:rsidP="00A870D8">
            <w:pPr>
              <w:jc w:val="center"/>
              <w:rPr>
                <w:color w:val="000000"/>
              </w:rPr>
            </w:pPr>
            <w:r>
              <w:rPr>
                <w:color w:val="00000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CFB3DA" w14:textId="77777777" w:rsidR="00A870D8" w:rsidRDefault="00A870D8" w:rsidP="00A870D8">
            <w:pPr>
              <w:jc w:val="center"/>
              <w:rPr>
                <w:color w:val="000000"/>
              </w:rPr>
            </w:pPr>
            <w:r>
              <w:rPr>
                <w:color w:val="000000"/>
              </w:rPr>
              <w:t>1</w:t>
            </w:r>
          </w:p>
        </w:tc>
        <w:tc>
          <w:tcPr>
            <w:tcW w:w="1559" w:type="dxa"/>
            <w:tcBorders>
              <w:top w:val="single" w:sz="4" w:space="0" w:color="auto"/>
              <w:left w:val="single" w:sz="4" w:space="0" w:color="auto"/>
              <w:bottom w:val="single" w:sz="4" w:space="0" w:color="auto"/>
            </w:tcBorders>
            <w:shd w:val="clear" w:color="auto" w:fill="FFFFFF" w:themeFill="background1"/>
          </w:tcPr>
          <w:p w14:paraId="3E339ED7" w14:textId="77777777" w:rsidR="00A870D8" w:rsidRDefault="00A870D8" w:rsidP="00A870D8">
            <w:pPr>
              <w:pStyle w:val="NoSpacing"/>
              <w:jc w:val="center"/>
            </w:pPr>
            <w:r>
              <w:t>-15</w:t>
            </w:r>
          </w:p>
        </w:tc>
        <w:tc>
          <w:tcPr>
            <w:tcW w:w="1276" w:type="dxa"/>
            <w:shd w:val="clear" w:color="auto" w:fill="FFFFFF" w:themeFill="background1"/>
          </w:tcPr>
          <w:p w14:paraId="5D61867B" w14:textId="77777777" w:rsidR="00A870D8" w:rsidRDefault="00A870D8" w:rsidP="00A870D8">
            <w:pPr>
              <w:pStyle w:val="NoSpacing"/>
            </w:pPr>
            <w:r>
              <w:t>Major Deviation</w:t>
            </w:r>
          </w:p>
        </w:tc>
        <w:tc>
          <w:tcPr>
            <w:tcW w:w="2148" w:type="dxa"/>
            <w:shd w:val="clear" w:color="auto" w:fill="FFFFFF" w:themeFill="background1"/>
            <w:vAlign w:val="center"/>
          </w:tcPr>
          <w:p w14:paraId="0170F780" w14:textId="77777777" w:rsidR="00A870D8" w:rsidRDefault="00A870D8" w:rsidP="00A870D8">
            <w:pPr>
              <w:spacing w:line="240" w:lineRule="auto"/>
              <w:jc w:val="both"/>
              <w:rPr>
                <w:rFonts w:eastAsia="Times New Roman"/>
                <w:lang w:val="en-PH" w:eastAsia="en-PH"/>
              </w:rPr>
            </w:pPr>
            <w:r>
              <w:t>Inconsistencies on data of submitted documents</w:t>
            </w:r>
          </w:p>
        </w:tc>
      </w:tr>
      <w:tr w:rsidR="00A870D8" w:rsidRPr="00B64A59" w14:paraId="0B06B502" w14:textId="77777777" w:rsidTr="003C74D7">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146AAB" w14:textId="77777777" w:rsidR="00A870D8" w:rsidRDefault="00A870D8" w:rsidP="00A870D8">
            <w:pPr>
              <w:rPr>
                <w:color w:val="000000"/>
              </w:rPr>
            </w:pPr>
            <w:r>
              <w:rPr>
                <w:color w:val="000000"/>
              </w:rPr>
              <w:t>b. Number of eligible children placed under foster care provided with subsidy</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414CDA51" w14:textId="77777777" w:rsidR="00A870D8" w:rsidRDefault="00A870D8" w:rsidP="00A870D8">
            <w:pPr>
              <w:jc w:val="center"/>
              <w:rPr>
                <w:color w:val="000000"/>
              </w:rPr>
            </w:pPr>
            <w:r>
              <w:rPr>
                <w:color w:val="000000"/>
              </w:rPr>
              <w:t>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60381C" w14:textId="77777777" w:rsidR="00A870D8" w:rsidRDefault="00A870D8" w:rsidP="00A870D8">
            <w:pPr>
              <w:jc w:val="center"/>
              <w:rPr>
                <w:color w:val="000000"/>
              </w:rPr>
            </w:pPr>
            <w:r>
              <w:rPr>
                <w:color w:val="000000"/>
              </w:rPr>
              <w:t>33</w:t>
            </w:r>
          </w:p>
        </w:tc>
        <w:tc>
          <w:tcPr>
            <w:tcW w:w="1559" w:type="dxa"/>
            <w:tcBorders>
              <w:top w:val="single" w:sz="4" w:space="0" w:color="auto"/>
              <w:left w:val="single" w:sz="4" w:space="0" w:color="auto"/>
              <w:bottom w:val="single" w:sz="4" w:space="0" w:color="auto"/>
            </w:tcBorders>
            <w:shd w:val="clear" w:color="auto" w:fill="FFFFFF" w:themeFill="background1"/>
          </w:tcPr>
          <w:p w14:paraId="52555D1E" w14:textId="77777777" w:rsidR="00A870D8" w:rsidRDefault="00A870D8" w:rsidP="00A870D8">
            <w:pPr>
              <w:pStyle w:val="NoSpacing"/>
              <w:jc w:val="center"/>
            </w:pPr>
            <w:r>
              <w:t>-24</w:t>
            </w:r>
          </w:p>
        </w:tc>
        <w:tc>
          <w:tcPr>
            <w:tcW w:w="1276" w:type="dxa"/>
            <w:shd w:val="clear" w:color="auto" w:fill="FFFFFF" w:themeFill="background1"/>
          </w:tcPr>
          <w:p w14:paraId="2FE224A9" w14:textId="77777777" w:rsidR="00A870D8" w:rsidRDefault="00A870D8" w:rsidP="00A870D8">
            <w:pPr>
              <w:pStyle w:val="NoSpacing"/>
            </w:pPr>
            <w:r>
              <w:t>Major Deviation</w:t>
            </w:r>
          </w:p>
        </w:tc>
        <w:tc>
          <w:tcPr>
            <w:tcW w:w="2148" w:type="dxa"/>
            <w:shd w:val="clear" w:color="auto" w:fill="FFFFFF" w:themeFill="background1"/>
            <w:vAlign w:val="center"/>
          </w:tcPr>
          <w:p w14:paraId="11A53C4B" w14:textId="77777777" w:rsidR="00A870D8" w:rsidRDefault="00A870D8" w:rsidP="00A870D8">
            <w:pPr>
              <w:jc w:val="both"/>
            </w:pPr>
            <w:r>
              <w:t>Limited children assessed eligible to be provided with subsidy</w:t>
            </w:r>
          </w:p>
        </w:tc>
      </w:tr>
      <w:tr w:rsidR="00A870D8" w:rsidRPr="00B64A59" w14:paraId="1FEF0C60" w14:textId="77777777" w:rsidTr="003C74D7">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5AC434" w14:textId="77777777" w:rsidR="00A870D8" w:rsidRDefault="00A870D8" w:rsidP="00A870D8">
            <w:pPr>
              <w:rPr>
                <w:color w:val="000000"/>
              </w:rPr>
            </w:pPr>
            <w:r>
              <w:rPr>
                <w:color w:val="000000"/>
              </w:rPr>
              <w:t>c. Number of children placed under foster care</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0425B465" w14:textId="77777777" w:rsidR="00A870D8" w:rsidRDefault="00A870D8" w:rsidP="00A870D8">
            <w:pPr>
              <w:jc w:val="center"/>
              <w:rPr>
                <w:color w:val="000000"/>
              </w:rPr>
            </w:pPr>
            <w:r>
              <w:rPr>
                <w:color w:val="00000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862E54" w14:textId="77777777" w:rsidR="00A870D8" w:rsidRDefault="00A870D8" w:rsidP="00A870D8">
            <w:pPr>
              <w:jc w:val="center"/>
              <w:rPr>
                <w:color w:val="000000"/>
              </w:rPr>
            </w:pPr>
            <w:r>
              <w:rPr>
                <w:color w:val="000000"/>
              </w:rPr>
              <w:t>1</w:t>
            </w:r>
          </w:p>
        </w:tc>
        <w:tc>
          <w:tcPr>
            <w:tcW w:w="1559" w:type="dxa"/>
            <w:tcBorders>
              <w:top w:val="single" w:sz="4" w:space="0" w:color="auto"/>
              <w:left w:val="single" w:sz="4" w:space="0" w:color="auto"/>
              <w:bottom w:val="single" w:sz="4" w:space="0" w:color="auto"/>
            </w:tcBorders>
            <w:shd w:val="clear" w:color="auto" w:fill="FFFFFF" w:themeFill="background1"/>
          </w:tcPr>
          <w:p w14:paraId="77AC29B9" w14:textId="77777777" w:rsidR="00A870D8" w:rsidRDefault="00A870D8" w:rsidP="00A870D8">
            <w:pPr>
              <w:pStyle w:val="NoSpacing"/>
              <w:jc w:val="center"/>
            </w:pPr>
            <w:r>
              <w:t>-21</w:t>
            </w:r>
          </w:p>
        </w:tc>
        <w:tc>
          <w:tcPr>
            <w:tcW w:w="1276" w:type="dxa"/>
            <w:shd w:val="clear" w:color="auto" w:fill="FFFFFF" w:themeFill="background1"/>
          </w:tcPr>
          <w:p w14:paraId="22C99CEA" w14:textId="77777777" w:rsidR="00A870D8" w:rsidRDefault="00A870D8" w:rsidP="00A870D8">
            <w:pPr>
              <w:pStyle w:val="NoSpacing"/>
            </w:pPr>
            <w:r>
              <w:t>Major Deviation</w:t>
            </w:r>
          </w:p>
        </w:tc>
        <w:tc>
          <w:tcPr>
            <w:tcW w:w="2148" w:type="dxa"/>
            <w:shd w:val="clear" w:color="auto" w:fill="FFFFFF" w:themeFill="background1"/>
            <w:vAlign w:val="center"/>
          </w:tcPr>
          <w:p w14:paraId="2B95767B" w14:textId="77777777" w:rsidR="00A870D8" w:rsidRDefault="00A870D8" w:rsidP="00A870D8">
            <w:pPr>
              <w:jc w:val="both"/>
            </w:pPr>
            <w:r>
              <w:t>No referrals were made from Local Government Units, Regional Caring Facilities, and Child Caring Agencies</w:t>
            </w:r>
          </w:p>
        </w:tc>
      </w:tr>
      <w:tr w:rsidR="002B02D5" w:rsidRPr="00B64A59" w14:paraId="2D5F4270" w14:textId="77777777" w:rsidTr="001A106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A817D" w14:textId="77777777" w:rsidR="002B02D5" w:rsidRDefault="002B02D5" w:rsidP="002B02D5">
            <w:pPr>
              <w:rPr>
                <w:color w:val="000000"/>
              </w:rPr>
            </w:pPr>
            <w:r>
              <w:rPr>
                <w:color w:val="000000"/>
              </w:rPr>
              <w:t>d. Number of regular prospective adoptive parents developed</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7E065E3D" w14:textId="77777777" w:rsidR="002B02D5" w:rsidRDefault="002B02D5" w:rsidP="002B02D5">
            <w:pPr>
              <w:jc w:val="center"/>
              <w:rPr>
                <w:color w:val="000000"/>
              </w:rPr>
            </w:pPr>
            <w:r>
              <w:rPr>
                <w:color w:val="000000"/>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5A5573" w14:textId="77777777" w:rsidR="002B02D5" w:rsidRDefault="002B02D5" w:rsidP="002B02D5">
            <w:pPr>
              <w:jc w:val="center"/>
              <w:rPr>
                <w:color w:val="000000"/>
              </w:rPr>
            </w:pPr>
            <w:r>
              <w:rPr>
                <w:color w:val="000000"/>
              </w:rPr>
              <w:t>1</w:t>
            </w:r>
          </w:p>
        </w:tc>
        <w:tc>
          <w:tcPr>
            <w:tcW w:w="1559" w:type="dxa"/>
            <w:tcBorders>
              <w:top w:val="single" w:sz="4" w:space="0" w:color="auto"/>
              <w:left w:val="single" w:sz="4" w:space="0" w:color="auto"/>
              <w:bottom w:val="single" w:sz="4" w:space="0" w:color="auto"/>
            </w:tcBorders>
            <w:shd w:val="clear" w:color="auto" w:fill="FFFFFF" w:themeFill="background1"/>
          </w:tcPr>
          <w:p w14:paraId="058D1065" w14:textId="77777777" w:rsidR="002B02D5" w:rsidRDefault="002B02D5" w:rsidP="002B02D5">
            <w:pPr>
              <w:pStyle w:val="NoSpacing"/>
              <w:jc w:val="center"/>
            </w:pPr>
            <w:r>
              <w:t>-5</w:t>
            </w:r>
          </w:p>
        </w:tc>
        <w:tc>
          <w:tcPr>
            <w:tcW w:w="1276" w:type="dxa"/>
            <w:shd w:val="clear" w:color="auto" w:fill="FFFFFF" w:themeFill="background1"/>
          </w:tcPr>
          <w:p w14:paraId="0FBAB096" w14:textId="77777777" w:rsidR="002B02D5" w:rsidRDefault="002B02D5" w:rsidP="002B02D5">
            <w:pPr>
              <w:pStyle w:val="NoSpacing"/>
            </w:pPr>
            <w:r>
              <w:t>Major Deviation</w:t>
            </w:r>
          </w:p>
        </w:tc>
        <w:tc>
          <w:tcPr>
            <w:tcW w:w="2148" w:type="dxa"/>
            <w:shd w:val="clear" w:color="auto" w:fill="FFFFFF" w:themeFill="background1"/>
            <w:vAlign w:val="center"/>
          </w:tcPr>
          <w:p w14:paraId="08151F52" w14:textId="77777777" w:rsidR="002B02D5" w:rsidRDefault="002B02D5" w:rsidP="002B02D5">
            <w:pPr>
              <w:spacing w:line="240" w:lineRule="auto"/>
              <w:rPr>
                <w:rFonts w:eastAsia="Times New Roman"/>
                <w:color w:val="000000"/>
                <w:lang w:val="en-PH" w:eastAsia="en-PH"/>
              </w:rPr>
            </w:pPr>
            <w:r>
              <w:rPr>
                <w:color w:val="000000"/>
              </w:rPr>
              <w:t xml:space="preserve">Regular prospective adoptive parents were provided pre-adoption fora during the second quarter  </w:t>
            </w:r>
          </w:p>
        </w:tc>
      </w:tr>
      <w:tr w:rsidR="002B02D5" w:rsidRPr="00B64A59" w14:paraId="7E5C05E6" w14:textId="77777777" w:rsidTr="001A106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49EA0" w14:textId="77777777" w:rsidR="002B02D5" w:rsidRDefault="002B02D5" w:rsidP="002B02D5">
            <w:pPr>
              <w:rPr>
                <w:color w:val="000000"/>
              </w:rPr>
            </w:pPr>
            <w:r>
              <w:rPr>
                <w:color w:val="000000"/>
              </w:rPr>
              <w:t xml:space="preserve">e. Number of foster parents licensed </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0CC63519" w14:textId="77777777" w:rsidR="002B02D5" w:rsidRDefault="002B02D5" w:rsidP="002B02D5">
            <w:pPr>
              <w:jc w:val="center"/>
              <w:rPr>
                <w:color w:val="000000"/>
              </w:rPr>
            </w:pPr>
            <w:r>
              <w:rPr>
                <w:color w:val="000000"/>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EFB2CF" w14:textId="77777777" w:rsidR="002B02D5" w:rsidRDefault="002B02D5" w:rsidP="002B02D5">
            <w:pPr>
              <w:jc w:val="center"/>
              <w:rPr>
                <w:color w:val="000000"/>
              </w:rPr>
            </w:pPr>
            <w:r>
              <w:rPr>
                <w:color w:val="000000"/>
              </w:rPr>
              <w:t>0</w:t>
            </w:r>
          </w:p>
        </w:tc>
        <w:tc>
          <w:tcPr>
            <w:tcW w:w="1559" w:type="dxa"/>
            <w:tcBorders>
              <w:top w:val="single" w:sz="4" w:space="0" w:color="auto"/>
              <w:left w:val="single" w:sz="4" w:space="0" w:color="auto"/>
              <w:bottom w:val="single" w:sz="4" w:space="0" w:color="auto"/>
            </w:tcBorders>
            <w:shd w:val="clear" w:color="auto" w:fill="FFFFFF" w:themeFill="background1"/>
          </w:tcPr>
          <w:p w14:paraId="48AB87EA" w14:textId="77777777" w:rsidR="002B02D5" w:rsidRDefault="002B02D5" w:rsidP="002B02D5">
            <w:pPr>
              <w:pStyle w:val="NoSpacing"/>
              <w:jc w:val="center"/>
            </w:pPr>
            <w:r>
              <w:t>-4</w:t>
            </w:r>
          </w:p>
        </w:tc>
        <w:tc>
          <w:tcPr>
            <w:tcW w:w="1276" w:type="dxa"/>
            <w:shd w:val="clear" w:color="auto" w:fill="FFFFFF" w:themeFill="background1"/>
          </w:tcPr>
          <w:p w14:paraId="7789F83E" w14:textId="77777777" w:rsidR="002B02D5" w:rsidRDefault="002B02D5" w:rsidP="002B02D5">
            <w:pPr>
              <w:pStyle w:val="NoSpacing"/>
            </w:pPr>
            <w:r>
              <w:t>Major Deviation</w:t>
            </w:r>
          </w:p>
        </w:tc>
        <w:tc>
          <w:tcPr>
            <w:tcW w:w="2148" w:type="dxa"/>
            <w:shd w:val="clear" w:color="auto" w:fill="FFFFFF" w:themeFill="background1"/>
            <w:vAlign w:val="center"/>
          </w:tcPr>
          <w:p w14:paraId="0305535F" w14:textId="77777777" w:rsidR="002B02D5" w:rsidRDefault="002B02D5" w:rsidP="002B02D5">
            <w:pPr>
              <w:rPr>
                <w:color w:val="000000"/>
              </w:rPr>
            </w:pPr>
            <w:r>
              <w:rPr>
                <w:color w:val="000000"/>
              </w:rPr>
              <w:t xml:space="preserve">Limited to No applications received </w:t>
            </w:r>
          </w:p>
        </w:tc>
      </w:tr>
      <w:tr w:rsidR="002B02D5" w:rsidRPr="00B64A59" w14:paraId="67289FE0" w14:textId="77777777" w:rsidTr="001A106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B5712" w14:textId="77777777" w:rsidR="002B02D5" w:rsidRDefault="002B02D5" w:rsidP="002B02D5">
            <w:pPr>
              <w:rPr>
                <w:color w:val="000000"/>
              </w:rPr>
            </w:pPr>
            <w:r>
              <w:rPr>
                <w:color w:val="000000"/>
              </w:rPr>
              <w:t>f. Number of eligible children issued with RAC</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6A282A86" w14:textId="77777777" w:rsidR="002B02D5" w:rsidRDefault="002B02D5" w:rsidP="002B02D5">
            <w:pPr>
              <w:jc w:val="center"/>
              <w:rPr>
                <w:color w:val="000000"/>
              </w:rPr>
            </w:pPr>
            <w:r>
              <w:rPr>
                <w:color w:val="000000"/>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F4407B" w14:textId="77777777" w:rsidR="002B02D5" w:rsidRDefault="002B02D5" w:rsidP="002B02D5">
            <w:pPr>
              <w:jc w:val="center"/>
              <w:rPr>
                <w:color w:val="000000"/>
              </w:rPr>
            </w:pPr>
            <w:r>
              <w:rPr>
                <w:color w:val="000000"/>
              </w:rPr>
              <w:t>0</w:t>
            </w:r>
          </w:p>
        </w:tc>
        <w:tc>
          <w:tcPr>
            <w:tcW w:w="1559" w:type="dxa"/>
            <w:tcBorders>
              <w:top w:val="single" w:sz="4" w:space="0" w:color="auto"/>
              <w:left w:val="single" w:sz="4" w:space="0" w:color="auto"/>
              <w:bottom w:val="single" w:sz="4" w:space="0" w:color="auto"/>
            </w:tcBorders>
            <w:shd w:val="clear" w:color="auto" w:fill="FFFFFF" w:themeFill="background1"/>
          </w:tcPr>
          <w:p w14:paraId="325A7471" w14:textId="77777777" w:rsidR="002B02D5" w:rsidRDefault="002B02D5" w:rsidP="002B02D5">
            <w:pPr>
              <w:pStyle w:val="NoSpacing"/>
              <w:jc w:val="center"/>
            </w:pPr>
            <w:r>
              <w:t>-6</w:t>
            </w:r>
          </w:p>
        </w:tc>
        <w:tc>
          <w:tcPr>
            <w:tcW w:w="1276" w:type="dxa"/>
            <w:shd w:val="clear" w:color="auto" w:fill="FFFFFF" w:themeFill="background1"/>
          </w:tcPr>
          <w:p w14:paraId="5331F103" w14:textId="77777777" w:rsidR="002B02D5" w:rsidRDefault="002B02D5" w:rsidP="002B02D5">
            <w:pPr>
              <w:pStyle w:val="NoSpacing"/>
            </w:pPr>
            <w:r>
              <w:t>Major Deviation</w:t>
            </w:r>
          </w:p>
        </w:tc>
        <w:tc>
          <w:tcPr>
            <w:tcW w:w="2148" w:type="dxa"/>
            <w:shd w:val="clear" w:color="auto" w:fill="FFFFFF" w:themeFill="background1"/>
            <w:vAlign w:val="center"/>
          </w:tcPr>
          <w:p w14:paraId="3DF7D163" w14:textId="77777777" w:rsidR="002B02D5" w:rsidRDefault="002B02D5" w:rsidP="002B02D5">
            <w:pPr>
              <w:rPr>
                <w:color w:val="000000"/>
              </w:rPr>
            </w:pPr>
            <w:r>
              <w:rPr>
                <w:color w:val="000000"/>
              </w:rPr>
              <w:t xml:space="preserve">Eligible children for adoption were matched locally </w:t>
            </w:r>
          </w:p>
        </w:tc>
      </w:tr>
      <w:tr w:rsidR="00DD3991" w:rsidRPr="00B64A59" w14:paraId="7D74B621" w14:textId="77777777" w:rsidTr="0068148D">
        <w:trPr>
          <w:trHeight w:val="189"/>
        </w:trPr>
        <w:tc>
          <w:tcPr>
            <w:tcW w:w="10365" w:type="dxa"/>
            <w:gridSpan w:val="6"/>
            <w:tcBorders>
              <w:top w:val="single" w:sz="4" w:space="0" w:color="auto"/>
              <w:left w:val="single" w:sz="4" w:space="0" w:color="auto"/>
              <w:bottom w:val="single" w:sz="4" w:space="0" w:color="auto"/>
            </w:tcBorders>
            <w:shd w:val="clear" w:color="auto" w:fill="DEEAF6" w:themeFill="accent1" w:themeFillTint="33"/>
            <w:vAlign w:val="bottom"/>
          </w:tcPr>
          <w:p w14:paraId="1C8A3735" w14:textId="77777777" w:rsidR="00DD3991" w:rsidRPr="005F6194" w:rsidRDefault="00DD3991" w:rsidP="00DD3991">
            <w:pPr>
              <w:pStyle w:val="NoSpacing"/>
              <w:rPr>
                <w:b/>
              </w:rPr>
            </w:pPr>
            <w:r w:rsidRPr="005F6194">
              <w:rPr>
                <w:b/>
              </w:rPr>
              <w:t>Recovery and Reintegration Program for Trafficked Persons (RRPTP)</w:t>
            </w:r>
          </w:p>
        </w:tc>
      </w:tr>
      <w:tr w:rsidR="00DD3991" w:rsidRPr="00B64A59" w14:paraId="204365C1" w14:textId="77777777" w:rsidTr="00DF371E">
        <w:trPr>
          <w:trHeight w:val="189"/>
        </w:trPr>
        <w:tc>
          <w:tcPr>
            <w:tcW w:w="2280" w:type="dxa"/>
            <w:tcBorders>
              <w:bottom w:val="single" w:sz="4" w:space="0" w:color="auto"/>
            </w:tcBorders>
            <w:shd w:val="clear" w:color="auto" w:fill="FFFFFF" w:themeFill="background1"/>
          </w:tcPr>
          <w:p w14:paraId="017C13F1" w14:textId="77777777" w:rsidR="00DD3991" w:rsidRPr="00E658B9" w:rsidRDefault="00DD3991" w:rsidP="00DD3991">
            <w:pPr>
              <w:pStyle w:val="NoSpacing"/>
            </w:pPr>
            <w:r>
              <w:t xml:space="preserve">2.17. </w:t>
            </w:r>
            <w:r w:rsidRPr="00E658B9">
              <w:t>Number of trafficked persons provided with social welfare services</w:t>
            </w:r>
          </w:p>
        </w:tc>
        <w:tc>
          <w:tcPr>
            <w:tcW w:w="1543" w:type="dxa"/>
            <w:shd w:val="clear" w:color="auto" w:fill="FFFFFF" w:themeFill="background1"/>
          </w:tcPr>
          <w:p w14:paraId="1015B316" w14:textId="77777777" w:rsidR="00DD3991" w:rsidRPr="00E658B9" w:rsidRDefault="00A870D8" w:rsidP="00DD3991">
            <w:pPr>
              <w:pStyle w:val="NoSpacing"/>
              <w:jc w:val="center"/>
            </w:pPr>
            <w:r>
              <w:t>55</w:t>
            </w:r>
          </w:p>
        </w:tc>
        <w:tc>
          <w:tcPr>
            <w:tcW w:w="1559" w:type="dxa"/>
            <w:shd w:val="clear" w:color="auto" w:fill="FFFFFF" w:themeFill="background1"/>
          </w:tcPr>
          <w:p w14:paraId="2B83FEC1" w14:textId="77777777" w:rsidR="00DD3991" w:rsidRPr="00E658B9" w:rsidRDefault="00A870D8" w:rsidP="00DD3991">
            <w:pPr>
              <w:pStyle w:val="NoSpacing"/>
              <w:jc w:val="center"/>
            </w:pPr>
            <w:r>
              <w:t>25</w:t>
            </w:r>
          </w:p>
        </w:tc>
        <w:tc>
          <w:tcPr>
            <w:tcW w:w="1559" w:type="dxa"/>
            <w:shd w:val="clear" w:color="auto" w:fill="FFFFFF" w:themeFill="background1"/>
          </w:tcPr>
          <w:p w14:paraId="01D0F417" w14:textId="77777777" w:rsidR="00DD3991" w:rsidRPr="00E658B9" w:rsidRDefault="00A870D8" w:rsidP="00DD3991">
            <w:pPr>
              <w:pStyle w:val="NoSpacing"/>
            </w:pPr>
            <w:r>
              <w:t>-25</w:t>
            </w:r>
          </w:p>
        </w:tc>
        <w:tc>
          <w:tcPr>
            <w:tcW w:w="1276" w:type="dxa"/>
            <w:shd w:val="clear" w:color="auto" w:fill="FFFFFF" w:themeFill="background1"/>
          </w:tcPr>
          <w:p w14:paraId="4830DA81" w14:textId="77777777" w:rsidR="00DD3991" w:rsidRPr="00E658B9" w:rsidRDefault="00A870D8" w:rsidP="00DD3991">
            <w:pPr>
              <w:pStyle w:val="NoSpacing"/>
            </w:pPr>
            <w:r>
              <w:t>Major Deviation</w:t>
            </w:r>
          </w:p>
        </w:tc>
        <w:tc>
          <w:tcPr>
            <w:tcW w:w="2148" w:type="dxa"/>
            <w:shd w:val="clear" w:color="auto" w:fill="FFFFFF" w:themeFill="background1"/>
          </w:tcPr>
          <w:p w14:paraId="153B5548" w14:textId="77777777" w:rsidR="00DD3991" w:rsidRPr="00181C76" w:rsidRDefault="00A870D8" w:rsidP="00181C76">
            <w:pPr>
              <w:pStyle w:val="NoSpacing"/>
              <w:jc w:val="both"/>
            </w:pPr>
            <w:r w:rsidRPr="00181C76">
              <w:rPr>
                <w:color w:val="000000"/>
                <w:shd w:val="clear" w:color="auto" w:fill="FFFFFF"/>
              </w:rPr>
              <w:t>No reported cases and referred victim-survivors of trafficking in persons Most old clients cannot be located</w:t>
            </w:r>
          </w:p>
        </w:tc>
      </w:tr>
      <w:tr w:rsidR="00DD3991" w:rsidRPr="00B64A59" w14:paraId="1896BFAF" w14:textId="77777777" w:rsidTr="0068148D">
        <w:trPr>
          <w:trHeight w:val="189"/>
        </w:trPr>
        <w:tc>
          <w:tcPr>
            <w:tcW w:w="10365" w:type="dxa"/>
            <w:gridSpan w:val="6"/>
            <w:tcBorders>
              <w:bottom w:val="single" w:sz="4" w:space="0" w:color="auto"/>
            </w:tcBorders>
            <w:shd w:val="clear" w:color="auto" w:fill="DEEAF6" w:themeFill="accent1" w:themeFillTint="33"/>
          </w:tcPr>
          <w:p w14:paraId="54A3523D" w14:textId="77777777" w:rsidR="00DD3991" w:rsidRPr="005F6194" w:rsidRDefault="00DD3991" w:rsidP="00DD3991">
            <w:pPr>
              <w:pStyle w:val="NoSpacing"/>
              <w:rPr>
                <w:b/>
              </w:rPr>
            </w:pPr>
            <w:r w:rsidRPr="005F6194">
              <w:rPr>
                <w:b/>
              </w:rPr>
              <w:t>International Social Services Office</w:t>
            </w:r>
            <w:r>
              <w:rPr>
                <w:b/>
              </w:rPr>
              <w:t xml:space="preserve"> (ISSO)</w:t>
            </w:r>
          </w:p>
        </w:tc>
      </w:tr>
    </w:tbl>
    <w:p w14:paraId="6A446806" w14:textId="77777777" w:rsidR="00A870D8" w:rsidRDefault="00A870D8">
      <w:r>
        <w:br w:type="page"/>
      </w:r>
    </w:p>
    <w:tbl>
      <w:tblPr>
        <w:tblStyle w:val="TableGrid"/>
        <w:tblW w:w="10201" w:type="dxa"/>
        <w:tblLayout w:type="fixed"/>
        <w:tblLook w:val="0600" w:firstRow="0" w:lastRow="0" w:firstColumn="0" w:lastColumn="0" w:noHBand="1" w:noVBand="1"/>
      </w:tblPr>
      <w:tblGrid>
        <w:gridCol w:w="2280"/>
        <w:gridCol w:w="1543"/>
        <w:gridCol w:w="1559"/>
        <w:gridCol w:w="283"/>
        <w:gridCol w:w="1276"/>
        <w:gridCol w:w="1276"/>
        <w:gridCol w:w="1984"/>
      </w:tblGrid>
      <w:tr w:rsidR="00DD3991" w:rsidRPr="00B64A59" w14:paraId="59B09286" w14:textId="77777777" w:rsidTr="00023229">
        <w:trPr>
          <w:trHeight w:val="189"/>
        </w:trPr>
        <w:tc>
          <w:tcPr>
            <w:tcW w:w="2280" w:type="dxa"/>
            <w:tcBorders>
              <w:bottom w:val="single" w:sz="4" w:space="0" w:color="auto"/>
            </w:tcBorders>
            <w:shd w:val="clear" w:color="auto" w:fill="FFFFFF" w:themeFill="background1"/>
          </w:tcPr>
          <w:p w14:paraId="5D57AB02" w14:textId="77777777" w:rsidR="00DD3991" w:rsidRPr="00E658B9" w:rsidRDefault="00DD3991" w:rsidP="00DD3991">
            <w:pPr>
              <w:pStyle w:val="NoSpacing"/>
            </w:pPr>
            <w:r>
              <w:lastRenderedPageBreak/>
              <w:t xml:space="preserve">2.18. </w:t>
            </w:r>
            <w:r w:rsidRPr="00E658B9">
              <w:t>Number of distressed and undocumented overseas Filipinos provided with social welfare services</w:t>
            </w:r>
          </w:p>
        </w:tc>
        <w:tc>
          <w:tcPr>
            <w:tcW w:w="1543" w:type="dxa"/>
            <w:shd w:val="clear" w:color="auto" w:fill="FFFFFF" w:themeFill="background1"/>
          </w:tcPr>
          <w:p w14:paraId="07485D19" w14:textId="77777777" w:rsidR="00DD3991" w:rsidRPr="00E658B9" w:rsidRDefault="00A870D8" w:rsidP="00DD3991">
            <w:pPr>
              <w:pStyle w:val="NoSpacing"/>
              <w:jc w:val="center"/>
            </w:pPr>
            <w:r>
              <w:t>313</w:t>
            </w:r>
          </w:p>
        </w:tc>
        <w:tc>
          <w:tcPr>
            <w:tcW w:w="1559" w:type="dxa"/>
            <w:shd w:val="clear" w:color="auto" w:fill="FFFFFF" w:themeFill="background1"/>
          </w:tcPr>
          <w:p w14:paraId="7E2834BC" w14:textId="77777777" w:rsidR="00DD3991" w:rsidRPr="00E658B9" w:rsidRDefault="00A870D8" w:rsidP="00DD3991">
            <w:pPr>
              <w:pStyle w:val="NoSpacing"/>
              <w:jc w:val="center"/>
            </w:pPr>
            <w:r>
              <w:t>105</w:t>
            </w:r>
          </w:p>
        </w:tc>
        <w:tc>
          <w:tcPr>
            <w:tcW w:w="1559" w:type="dxa"/>
            <w:gridSpan w:val="2"/>
            <w:shd w:val="clear" w:color="auto" w:fill="FFFFFF" w:themeFill="background1"/>
          </w:tcPr>
          <w:p w14:paraId="677C1A63" w14:textId="77777777" w:rsidR="00DD3991" w:rsidRPr="00E658B9" w:rsidRDefault="00A870D8" w:rsidP="00DD3991">
            <w:pPr>
              <w:pStyle w:val="NoSpacing"/>
            </w:pPr>
            <w:r>
              <w:t>-208</w:t>
            </w:r>
          </w:p>
        </w:tc>
        <w:tc>
          <w:tcPr>
            <w:tcW w:w="1276" w:type="dxa"/>
            <w:shd w:val="clear" w:color="auto" w:fill="FFFFFF" w:themeFill="background1"/>
          </w:tcPr>
          <w:p w14:paraId="1F0D3F2E" w14:textId="77777777" w:rsidR="00DD3991" w:rsidRPr="00A870D8" w:rsidRDefault="00A870D8" w:rsidP="00DD3991">
            <w:pPr>
              <w:pStyle w:val="NoSpacing"/>
            </w:pPr>
            <w:r w:rsidRPr="00A870D8">
              <w:t>Major Deviation</w:t>
            </w:r>
          </w:p>
        </w:tc>
        <w:tc>
          <w:tcPr>
            <w:tcW w:w="1984" w:type="dxa"/>
            <w:shd w:val="clear" w:color="auto" w:fill="FFFFFF" w:themeFill="background1"/>
          </w:tcPr>
          <w:p w14:paraId="5A3D7AD0" w14:textId="77777777" w:rsidR="00DD3991" w:rsidRPr="00A870D8" w:rsidRDefault="00A870D8" w:rsidP="00A870D8">
            <w:pPr>
              <w:pStyle w:val="NoSpacing"/>
              <w:jc w:val="both"/>
              <w:rPr>
                <w:color w:val="000000"/>
                <w:szCs w:val="17"/>
                <w:shd w:val="clear" w:color="auto" w:fill="FFFFFF"/>
              </w:rPr>
            </w:pPr>
            <w:r w:rsidRPr="00A870D8">
              <w:rPr>
                <w:color w:val="000000"/>
                <w:szCs w:val="17"/>
                <w:shd w:val="clear" w:color="auto" w:fill="FFFFFF"/>
              </w:rPr>
              <w:t>Limited number of walk-in and referred clients under ISSO</w:t>
            </w:r>
          </w:p>
          <w:p w14:paraId="039D52C3" w14:textId="77777777" w:rsidR="00A870D8" w:rsidRDefault="00A870D8" w:rsidP="00A870D8">
            <w:pPr>
              <w:pStyle w:val="NoSpacing"/>
              <w:jc w:val="both"/>
              <w:rPr>
                <w:color w:val="000000"/>
                <w:shd w:val="clear" w:color="auto" w:fill="FFFFFF"/>
              </w:rPr>
            </w:pPr>
          </w:p>
          <w:p w14:paraId="457CA41C" w14:textId="77777777" w:rsidR="00A870D8" w:rsidRPr="00A870D8" w:rsidRDefault="00A870D8" w:rsidP="00A870D8">
            <w:pPr>
              <w:pStyle w:val="NoSpacing"/>
              <w:jc w:val="both"/>
              <w:rPr>
                <w:color w:val="000000"/>
                <w:shd w:val="clear" w:color="auto" w:fill="FFFFFF"/>
              </w:rPr>
            </w:pPr>
            <w:r w:rsidRPr="00A870D8">
              <w:rPr>
                <w:color w:val="000000"/>
                <w:shd w:val="clear" w:color="auto" w:fill="FFFFFF"/>
              </w:rPr>
              <w:t>The focal person provided augmentation in the management of One-Stop-shop DSWD Airport Team in NAIA Terminals paved the way to cater more clients under ISSO on February 28, 2022 to April 8, 2022.</w:t>
            </w:r>
          </w:p>
        </w:tc>
      </w:tr>
      <w:tr w:rsidR="00DD3991" w:rsidRPr="00B64A59" w14:paraId="0F5EF1EA" w14:textId="77777777" w:rsidTr="00023229">
        <w:trPr>
          <w:trHeight w:val="189"/>
        </w:trPr>
        <w:tc>
          <w:tcPr>
            <w:tcW w:w="10201" w:type="dxa"/>
            <w:gridSpan w:val="7"/>
            <w:tcBorders>
              <w:bottom w:val="single" w:sz="4" w:space="0" w:color="auto"/>
            </w:tcBorders>
            <w:shd w:val="clear" w:color="auto" w:fill="FBE4D5" w:themeFill="accent2" w:themeFillTint="33"/>
          </w:tcPr>
          <w:p w14:paraId="65F1FC0A" w14:textId="77777777" w:rsidR="00DD3991" w:rsidRPr="005F6194" w:rsidRDefault="00DD3991" w:rsidP="00DD3991">
            <w:pPr>
              <w:pStyle w:val="NoSpacing"/>
              <w:rPr>
                <w:b/>
              </w:rPr>
            </w:pPr>
            <w:r w:rsidRPr="005F6194">
              <w:rPr>
                <w:b/>
              </w:rPr>
              <w:t>Organizational Outcome 3: Immediate Relief And Early Recovery Of Disaster Victims/Survivors Ensured</w:t>
            </w:r>
          </w:p>
        </w:tc>
      </w:tr>
      <w:tr w:rsidR="00DD3991" w:rsidRPr="00B64A59" w14:paraId="0AB0B7BB" w14:textId="77777777" w:rsidTr="00023229">
        <w:trPr>
          <w:trHeight w:val="189"/>
        </w:trPr>
        <w:tc>
          <w:tcPr>
            <w:tcW w:w="10201" w:type="dxa"/>
            <w:gridSpan w:val="7"/>
            <w:tcBorders>
              <w:bottom w:val="single" w:sz="4" w:space="0" w:color="auto"/>
            </w:tcBorders>
            <w:shd w:val="clear" w:color="auto" w:fill="DEEAF6" w:themeFill="accent1" w:themeFillTint="33"/>
          </w:tcPr>
          <w:p w14:paraId="48734F29" w14:textId="77777777" w:rsidR="00DD3991" w:rsidRPr="005F6194" w:rsidRDefault="00DD3991" w:rsidP="00DD3991">
            <w:pPr>
              <w:pStyle w:val="NoSpacing"/>
              <w:rPr>
                <w:b/>
              </w:rPr>
            </w:pPr>
            <w:r w:rsidRPr="005F6194">
              <w:rPr>
                <w:b/>
              </w:rPr>
              <w:t>Disaster Response And Management Program</w:t>
            </w:r>
          </w:p>
        </w:tc>
      </w:tr>
      <w:tr w:rsidR="00DD3991" w:rsidRPr="00B64A59" w14:paraId="1E743992"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388540A0" w14:textId="77777777" w:rsidR="00DD3991" w:rsidRDefault="00DD3991" w:rsidP="00DD3991">
            <w:pPr>
              <w:pStyle w:val="NoSpacing"/>
            </w:pPr>
            <w:r>
              <w:t xml:space="preserve">3.2. </w:t>
            </w:r>
            <w:r w:rsidRPr="005F6194">
              <w:t>Number of trained DSWD QRT members ready for deployment on disaster response</w:t>
            </w:r>
          </w:p>
        </w:tc>
        <w:tc>
          <w:tcPr>
            <w:tcW w:w="1543" w:type="dxa"/>
            <w:tcBorders>
              <w:top w:val="single" w:sz="4" w:space="0" w:color="auto"/>
              <w:left w:val="single" w:sz="4" w:space="0" w:color="auto"/>
              <w:bottom w:val="single" w:sz="4" w:space="0" w:color="auto"/>
              <w:right w:val="single" w:sz="4" w:space="0" w:color="auto"/>
            </w:tcBorders>
          </w:tcPr>
          <w:p w14:paraId="6B0CFCBC" w14:textId="77777777" w:rsidR="00DD3991" w:rsidRDefault="00885559" w:rsidP="00DD3991">
            <w:pPr>
              <w:pStyle w:val="NoSpacing"/>
              <w:jc w:val="center"/>
            </w:pPr>
            <w:r>
              <w:t>268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48A47E" w14:textId="77777777" w:rsidR="00DD3991" w:rsidRDefault="00885559" w:rsidP="00DD3991">
            <w:pPr>
              <w:jc w:val="center"/>
              <w:rPr>
                <w:color w:val="000000"/>
              </w:rPr>
            </w:pPr>
            <w:r>
              <w:rPr>
                <w:color w:val="000000"/>
              </w:rPr>
              <w:t>197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9DB5AB4" w14:textId="77777777" w:rsidR="00DD3991" w:rsidRPr="009F051B" w:rsidRDefault="00885559" w:rsidP="00DD3991">
            <w:r>
              <w:t>-71</w:t>
            </w:r>
          </w:p>
        </w:tc>
        <w:tc>
          <w:tcPr>
            <w:tcW w:w="1276" w:type="dxa"/>
            <w:tcBorders>
              <w:top w:val="single" w:sz="4" w:space="0" w:color="auto"/>
              <w:left w:val="single" w:sz="4" w:space="0" w:color="auto"/>
              <w:bottom w:val="single" w:sz="4" w:space="0" w:color="auto"/>
              <w:right w:val="single" w:sz="4" w:space="0" w:color="auto"/>
            </w:tcBorders>
          </w:tcPr>
          <w:p w14:paraId="2F3378A5" w14:textId="77777777" w:rsidR="00DD3991" w:rsidRPr="005F21EC" w:rsidRDefault="00885559" w:rsidP="00DD3991">
            <w:r>
              <w:t>Minor Deviation</w:t>
            </w:r>
          </w:p>
        </w:tc>
        <w:tc>
          <w:tcPr>
            <w:tcW w:w="1984" w:type="dxa"/>
            <w:tcBorders>
              <w:top w:val="single" w:sz="4" w:space="0" w:color="auto"/>
              <w:left w:val="single" w:sz="4" w:space="0" w:color="auto"/>
              <w:bottom w:val="single" w:sz="4" w:space="0" w:color="auto"/>
            </w:tcBorders>
          </w:tcPr>
          <w:p w14:paraId="64A80FD5" w14:textId="77777777" w:rsidR="00DD3991" w:rsidRPr="00885559" w:rsidRDefault="00885559" w:rsidP="00885559">
            <w:pPr>
              <w:pStyle w:val="NoSpacing"/>
              <w:jc w:val="both"/>
            </w:pPr>
            <w:r w:rsidRPr="00885559">
              <w:rPr>
                <w:color w:val="000000"/>
                <w:shd w:val="clear" w:color="auto" w:fill="FFFFFF"/>
              </w:rPr>
              <w:t>Ten (10) participants were not able to attend the training due to conflicting schedules.</w:t>
            </w:r>
          </w:p>
        </w:tc>
      </w:tr>
      <w:tr w:rsidR="00DD3991" w:rsidRPr="00B64A59" w14:paraId="7519E5C3"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6BD14BAF" w14:textId="77777777" w:rsidR="00DD3991" w:rsidRDefault="00DD3991" w:rsidP="00DD3991">
            <w:pPr>
              <w:pStyle w:val="NoSpacing"/>
            </w:pPr>
            <w:r>
              <w:t xml:space="preserve">3.3. </w:t>
            </w:r>
            <w:r w:rsidRPr="005F6194">
              <w:t>Number of poor households that received cash-for-work for CCAM</w:t>
            </w:r>
          </w:p>
        </w:tc>
        <w:tc>
          <w:tcPr>
            <w:tcW w:w="1543" w:type="dxa"/>
            <w:tcBorders>
              <w:top w:val="single" w:sz="4" w:space="0" w:color="auto"/>
              <w:left w:val="single" w:sz="4" w:space="0" w:color="auto"/>
              <w:bottom w:val="single" w:sz="4" w:space="0" w:color="auto"/>
              <w:right w:val="single" w:sz="4" w:space="0" w:color="auto"/>
            </w:tcBorders>
          </w:tcPr>
          <w:p w14:paraId="57517AE0" w14:textId="77777777" w:rsidR="00DD3991" w:rsidRDefault="00885559" w:rsidP="00DD3991">
            <w:pPr>
              <w:pStyle w:val="NoSpacing"/>
              <w:jc w:val="center"/>
            </w:pPr>
            <w:r>
              <w:t>30,570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E3B86B" w14:textId="77777777" w:rsidR="00DD3991" w:rsidRDefault="00885559" w:rsidP="00DD3991">
            <w:pPr>
              <w:jc w:val="center"/>
              <w:rPr>
                <w:color w:val="000000"/>
              </w:rPr>
            </w:pPr>
            <w:r>
              <w:rPr>
                <w:color w:val="000000"/>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A26C0EF" w14:textId="77777777" w:rsidR="00DD3991" w:rsidRPr="009F051B" w:rsidRDefault="00C707F4" w:rsidP="00DD3991">
            <w:r>
              <w:t>0</w:t>
            </w:r>
          </w:p>
        </w:tc>
        <w:tc>
          <w:tcPr>
            <w:tcW w:w="1276" w:type="dxa"/>
            <w:tcBorders>
              <w:top w:val="single" w:sz="4" w:space="0" w:color="auto"/>
              <w:left w:val="single" w:sz="4" w:space="0" w:color="auto"/>
              <w:bottom w:val="single" w:sz="4" w:space="0" w:color="auto"/>
              <w:right w:val="single" w:sz="4" w:space="0" w:color="auto"/>
            </w:tcBorders>
          </w:tcPr>
          <w:p w14:paraId="5BC43F34" w14:textId="77777777" w:rsidR="00DD3991" w:rsidRPr="005F21EC" w:rsidRDefault="00C707F4" w:rsidP="00DD3991">
            <w:r>
              <w:t>Major Deviation</w:t>
            </w:r>
          </w:p>
        </w:tc>
        <w:tc>
          <w:tcPr>
            <w:tcW w:w="1984" w:type="dxa"/>
            <w:tcBorders>
              <w:top w:val="single" w:sz="4" w:space="0" w:color="auto"/>
              <w:left w:val="single" w:sz="4" w:space="0" w:color="auto"/>
              <w:bottom w:val="single" w:sz="4" w:space="0" w:color="auto"/>
            </w:tcBorders>
          </w:tcPr>
          <w:p w14:paraId="12B99871" w14:textId="77777777" w:rsidR="00DD3991" w:rsidRPr="00B64A59" w:rsidRDefault="00C707F4" w:rsidP="00C707F4">
            <w:pPr>
              <w:pStyle w:val="NoSpacing"/>
            </w:pPr>
            <w:r>
              <w:t>The Schedule of implementation is by 3</w:t>
            </w:r>
            <w:r w:rsidRPr="00C707F4">
              <w:rPr>
                <w:vertAlign w:val="superscript"/>
              </w:rPr>
              <w:t>rd</w:t>
            </w:r>
            <w:r>
              <w:t xml:space="preserve"> Quarter of the year. </w:t>
            </w:r>
          </w:p>
        </w:tc>
      </w:tr>
      <w:tr w:rsidR="00DD3991" w:rsidRPr="00B64A59" w14:paraId="53CEED50"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7D906B50" w14:textId="77777777" w:rsidR="00DD3991" w:rsidRDefault="00DD3991" w:rsidP="00DD3991">
            <w:pPr>
              <w:pStyle w:val="NoSpacing"/>
            </w:pPr>
            <w:r>
              <w:t xml:space="preserve">3.4. </w:t>
            </w:r>
            <w:r w:rsidRPr="005F6194">
              <w:t>Number of LGUs provided with augmentation on disaster response services</w:t>
            </w:r>
          </w:p>
        </w:tc>
        <w:tc>
          <w:tcPr>
            <w:tcW w:w="1543" w:type="dxa"/>
            <w:tcBorders>
              <w:top w:val="single" w:sz="4" w:space="0" w:color="auto"/>
              <w:left w:val="single" w:sz="4" w:space="0" w:color="auto"/>
              <w:bottom w:val="single" w:sz="4" w:space="0" w:color="auto"/>
              <w:right w:val="single" w:sz="4" w:space="0" w:color="auto"/>
            </w:tcBorders>
          </w:tcPr>
          <w:p w14:paraId="2871D779" w14:textId="77777777" w:rsidR="00DD3991" w:rsidRDefault="00C707F4" w:rsidP="00DD3991">
            <w:pPr>
              <w:pStyle w:val="NoSpacing"/>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63F6BA" w14:textId="77777777" w:rsidR="00DD3991" w:rsidRDefault="00C707F4" w:rsidP="00DD3991">
            <w:pPr>
              <w:jc w:val="center"/>
              <w:rPr>
                <w:color w:val="000000"/>
              </w:rPr>
            </w:pPr>
            <w:r>
              <w:rPr>
                <w:color w:val="000000"/>
              </w:rPr>
              <w:t>36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FFD1922" w14:textId="77777777" w:rsidR="00DD3991" w:rsidRPr="009F051B" w:rsidRDefault="00C707F4" w:rsidP="00DD3991">
            <w:r>
              <w:t>36</w:t>
            </w:r>
          </w:p>
        </w:tc>
        <w:tc>
          <w:tcPr>
            <w:tcW w:w="1276" w:type="dxa"/>
            <w:tcBorders>
              <w:top w:val="single" w:sz="4" w:space="0" w:color="auto"/>
              <w:left w:val="single" w:sz="4" w:space="0" w:color="auto"/>
              <w:bottom w:val="single" w:sz="4" w:space="0" w:color="auto"/>
              <w:right w:val="single" w:sz="4" w:space="0" w:color="auto"/>
            </w:tcBorders>
          </w:tcPr>
          <w:p w14:paraId="6BBA05D7" w14:textId="77777777" w:rsidR="00DD3991" w:rsidRPr="005F21EC" w:rsidRDefault="00C707F4" w:rsidP="00DD3991">
            <w:r>
              <w:t>Full Target Achieved</w:t>
            </w:r>
          </w:p>
        </w:tc>
        <w:tc>
          <w:tcPr>
            <w:tcW w:w="1984" w:type="dxa"/>
            <w:tcBorders>
              <w:top w:val="single" w:sz="4" w:space="0" w:color="auto"/>
              <w:left w:val="single" w:sz="4" w:space="0" w:color="auto"/>
              <w:bottom w:val="single" w:sz="4" w:space="0" w:color="auto"/>
            </w:tcBorders>
          </w:tcPr>
          <w:p w14:paraId="5A7EF6CD" w14:textId="77777777" w:rsidR="00DD3991" w:rsidRPr="008B3B71" w:rsidRDefault="00C707F4" w:rsidP="00460F3C">
            <w:pPr>
              <w:pStyle w:val="NoSpacing"/>
              <w:jc w:val="both"/>
            </w:pPr>
            <w:r w:rsidRPr="008B3B71">
              <w:rPr>
                <w:color w:val="000000"/>
                <w:shd w:val="clear" w:color="auto" w:fill="FFFFFF"/>
              </w:rPr>
              <w:t>Due to the COVID-19 pandemic and the armed conflict,</w:t>
            </w:r>
            <w:r w:rsidR="00460F3C">
              <w:rPr>
                <w:color w:val="000000"/>
                <w:shd w:val="clear" w:color="auto" w:fill="FFFFFF"/>
              </w:rPr>
              <w:t xml:space="preserve"> LGUs requested and were eventually approved through the release of </w:t>
            </w:r>
            <w:r w:rsidRPr="008B3B71">
              <w:rPr>
                <w:color w:val="000000"/>
                <w:shd w:val="clear" w:color="auto" w:fill="FFFFFF"/>
              </w:rPr>
              <w:t xml:space="preserve">Family Foods packs (FFPs) and Non-Food Items (NFIs) such as hygiene kits, sleeping kits, and modular tents. The FO also provided Child and Women Friendly-Spaces and Tents to eight (8) LGUs. 16 LGUs who requested augmentation support were </w:t>
            </w:r>
            <w:r w:rsidRPr="008B3B71">
              <w:rPr>
                <w:color w:val="000000"/>
                <w:shd w:val="clear" w:color="auto" w:fill="FFFFFF"/>
              </w:rPr>
              <w:lastRenderedPageBreak/>
              <w:t>provided with assistance for this quarter</w:t>
            </w:r>
            <w:r w:rsidR="00460F3C">
              <w:rPr>
                <w:color w:val="000000"/>
                <w:shd w:val="clear" w:color="auto" w:fill="FFFFFF"/>
              </w:rPr>
              <w:t xml:space="preserve">. </w:t>
            </w:r>
            <w:r w:rsidRPr="008B3B71">
              <w:rPr>
                <w:color w:val="000000"/>
                <w:shd w:val="clear" w:color="auto" w:fill="FFFFFF"/>
              </w:rPr>
              <w:t xml:space="preserve"> Moreover, the FO also provided augmentation to quarantined FO staff due to COVID-19.</w:t>
            </w:r>
          </w:p>
        </w:tc>
      </w:tr>
      <w:tr w:rsidR="00DD3991" w:rsidRPr="00B64A59" w14:paraId="41E8D8CE"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447303E8" w14:textId="77777777" w:rsidR="00DD3991" w:rsidRDefault="00DD3991" w:rsidP="00DD3991">
            <w:pPr>
              <w:pStyle w:val="NoSpacing"/>
            </w:pPr>
            <w:r>
              <w:lastRenderedPageBreak/>
              <w:t xml:space="preserve">3.5. </w:t>
            </w:r>
            <w:r w:rsidRPr="005F6194">
              <w:t>Number of internally displaced households provided with disaster response services</w:t>
            </w:r>
          </w:p>
        </w:tc>
        <w:tc>
          <w:tcPr>
            <w:tcW w:w="1543" w:type="dxa"/>
            <w:tcBorders>
              <w:top w:val="single" w:sz="4" w:space="0" w:color="auto"/>
              <w:left w:val="single" w:sz="4" w:space="0" w:color="auto"/>
              <w:bottom w:val="single" w:sz="4" w:space="0" w:color="auto"/>
              <w:right w:val="single" w:sz="4" w:space="0" w:color="auto"/>
            </w:tcBorders>
          </w:tcPr>
          <w:p w14:paraId="0B69C010" w14:textId="77777777" w:rsidR="00DD3991" w:rsidRDefault="00C707F4" w:rsidP="00DD3991">
            <w:pPr>
              <w:pStyle w:val="NoSpacing"/>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F9E50D" w14:textId="77777777" w:rsidR="00DD3991" w:rsidRDefault="00C707F4" w:rsidP="00DD3991">
            <w:pPr>
              <w:jc w:val="center"/>
              <w:rPr>
                <w:color w:val="000000"/>
              </w:rPr>
            </w:pPr>
            <w:r>
              <w:rPr>
                <w:color w:val="000000"/>
              </w:rPr>
              <w:t>326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7D5093F" w14:textId="77777777" w:rsidR="00DD3991" w:rsidRPr="009F051B" w:rsidRDefault="000F017B" w:rsidP="00DD3991">
            <w:r>
              <w:t>326</w:t>
            </w:r>
          </w:p>
        </w:tc>
        <w:tc>
          <w:tcPr>
            <w:tcW w:w="1276" w:type="dxa"/>
            <w:tcBorders>
              <w:top w:val="single" w:sz="4" w:space="0" w:color="auto"/>
              <w:left w:val="single" w:sz="4" w:space="0" w:color="auto"/>
              <w:bottom w:val="single" w:sz="4" w:space="0" w:color="auto"/>
              <w:right w:val="single" w:sz="4" w:space="0" w:color="auto"/>
            </w:tcBorders>
          </w:tcPr>
          <w:p w14:paraId="42D0BAE2" w14:textId="77777777" w:rsidR="00DD3991" w:rsidRPr="005F21EC" w:rsidRDefault="000F017B" w:rsidP="00DD3991">
            <w:r>
              <w:t xml:space="preserve">Full Target Achieved </w:t>
            </w:r>
          </w:p>
        </w:tc>
        <w:tc>
          <w:tcPr>
            <w:tcW w:w="1984" w:type="dxa"/>
            <w:tcBorders>
              <w:top w:val="single" w:sz="4" w:space="0" w:color="auto"/>
              <w:left w:val="single" w:sz="4" w:space="0" w:color="auto"/>
              <w:bottom w:val="single" w:sz="4" w:space="0" w:color="auto"/>
            </w:tcBorders>
          </w:tcPr>
          <w:p w14:paraId="5C9E59D3" w14:textId="77777777" w:rsidR="00DD3991" w:rsidRPr="00B64A59" w:rsidRDefault="000F017B" w:rsidP="002610C6">
            <w:pPr>
              <w:pStyle w:val="NoSpacing"/>
              <w:jc w:val="both"/>
            </w:pPr>
            <w:r w:rsidRPr="000F017B">
              <w:rPr>
                <w:color w:val="000000"/>
                <w:sz w:val="20"/>
                <w:szCs w:val="11"/>
                <w:shd w:val="clear" w:color="auto" w:fill="FFFFFF"/>
              </w:rPr>
              <w:t>There are 172 displaced families caused by flooding in Claveria, Cagayan; 113 displaced families were caused by armed conflict in Sta. Teresita and Gonzaga, Cagayan; and 84 families in Sto. Niño, Cagayan. They were provided with disaster response services such as evacuation centers for IDPs, FFPs, hygiene, and sleeping.</w:t>
            </w:r>
          </w:p>
        </w:tc>
      </w:tr>
      <w:tr w:rsidR="00DD3991" w:rsidRPr="00B64A59" w14:paraId="4CB1EA21"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1CD238EB" w14:textId="77777777" w:rsidR="00DD3991" w:rsidRPr="0021604C" w:rsidRDefault="00DD3991" w:rsidP="00DD3991">
            <w:pPr>
              <w:pStyle w:val="NoSpacing"/>
            </w:pPr>
            <w:r w:rsidRPr="0021604C">
              <w:t>3.6. Cash for Work (TY Ulysses)</w:t>
            </w:r>
          </w:p>
        </w:tc>
        <w:tc>
          <w:tcPr>
            <w:tcW w:w="1543" w:type="dxa"/>
            <w:tcBorders>
              <w:top w:val="single" w:sz="4" w:space="0" w:color="auto"/>
              <w:left w:val="single" w:sz="4" w:space="0" w:color="auto"/>
              <w:bottom w:val="single" w:sz="4" w:space="0" w:color="auto"/>
              <w:right w:val="single" w:sz="4" w:space="0" w:color="auto"/>
            </w:tcBorders>
          </w:tcPr>
          <w:p w14:paraId="47DE604B" w14:textId="77777777" w:rsidR="00DD3991" w:rsidRDefault="000F017B" w:rsidP="00DD3991">
            <w:pPr>
              <w:pStyle w:val="NoSpacing"/>
              <w:jc w:val="center"/>
            </w:pPr>
            <w:r>
              <w:t>5561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20FDAE" w14:textId="77777777" w:rsidR="00DD3991" w:rsidRDefault="000F017B" w:rsidP="00DD3991">
            <w:pPr>
              <w:jc w:val="center"/>
              <w:rPr>
                <w:color w:val="000000"/>
              </w:rPr>
            </w:pPr>
            <w:r>
              <w:rPr>
                <w:color w:val="000000"/>
              </w:rPr>
              <w:t>5,224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1B0CD49" w14:textId="77777777" w:rsidR="00DD3991" w:rsidRPr="009F051B" w:rsidRDefault="000F017B" w:rsidP="00DD3991">
            <w:r>
              <w:t>-337</w:t>
            </w:r>
          </w:p>
        </w:tc>
        <w:tc>
          <w:tcPr>
            <w:tcW w:w="1276" w:type="dxa"/>
            <w:tcBorders>
              <w:top w:val="single" w:sz="4" w:space="0" w:color="auto"/>
              <w:left w:val="single" w:sz="4" w:space="0" w:color="auto"/>
              <w:bottom w:val="single" w:sz="4" w:space="0" w:color="auto"/>
              <w:right w:val="single" w:sz="4" w:space="0" w:color="auto"/>
            </w:tcBorders>
          </w:tcPr>
          <w:p w14:paraId="36C03187" w14:textId="77777777" w:rsidR="00DD3991" w:rsidRPr="005F21EC" w:rsidRDefault="000F017B" w:rsidP="00DD3991">
            <w:r>
              <w:t>Minor Deviation</w:t>
            </w:r>
          </w:p>
        </w:tc>
        <w:tc>
          <w:tcPr>
            <w:tcW w:w="1984" w:type="dxa"/>
            <w:tcBorders>
              <w:top w:val="single" w:sz="4" w:space="0" w:color="auto"/>
              <w:left w:val="single" w:sz="4" w:space="0" w:color="auto"/>
              <w:bottom w:val="single" w:sz="4" w:space="0" w:color="auto"/>
            </w:tcBorders>
          </w:tcPr>
          <w:p w14:paraId="0638D0E1" w14:textId="77777777" w:rsidR="00DD3991" w:rsidRPr="00B64A59" w:rsidRDefault="000F017B" w:rsidP="000F017B">
            <w:pPr>
              <w:pStyle w:val="NoSpacing"/>
              <w:jc w:val="both"/>
            </w:pPr>
            <w:r w:rsidRPr="000F017B">
              <w:rPr>
                <w:color w:val="000000"/>
              </w:rPr>
              <w:t xml:space="preserve">The reported number of damaged houses is greater than the actual validated damaged houses. The total unpaid amount for ESA and CFW for affected families with damaged houses is </w:t>
            </w:r>
            <w:r w:rsidRPr="000F017B">
              <w:rPr>
                <w:b/>
                <w:bCs/>
                <w:color w:val="000000"/>
              </w:rPr>
              <w:t>Php 926,150.00</w:t>
            </w:r>
            <w:r w:rsidRPr="000F017B">
              <w:rPr>
                <w:color w:val="000000"/>
              </w:rPr>
              <w:t xml:space="preserve">. </w:t>
            </w:r>
            <w:r w:rsidRPr="000F017B">
              <w:rPr>
                <w:b/>
                <w:bCs/>
                <w:color w:val="000000"/>
              </w:rPr>
              <w:t>Php 450,000.00</w:t>
            </w:r>
            <w:r w:rsidRPr="000F017B">
              <w:rPr>
                <w:color w:val="000000"/>
              </w:rPr>
              <w:t xml:space="preserve"> was already returned to the Bureau of Treasury. The remaining </w:t>
            </w:r>
            <w:r w:rsidRPr="000F017B">
              <w:rPr>
                <w:b/>
                <w:bCs/>
                <w:color w:val="000000"/>
              </w:rPr>
              <w:t>Php 476,150.00</w:t>
            </w:r>
            <w:r w:rsidRPr="000F017B">
              <w:rPr>
                <w:color w:val="000000"/>
              </w:rPr>
              <w:t xml:space="preserve"> is still in the process to be</w:t>
            </w:r>
            <w:r w:rsidRPr="000F017B">
              <w:rPr>
                <w:color w:val="000000"/>
                <w:sz w:val="11"/>
                <w:szCs w:val="11"/>
              </w:rPr>
              <w:t xml:space="preserve"> </w:t>
            </w:r>
            <w:r w:rsidRPr="00181C76">
              <w:rPr>
                <w:color w:val="000000"/>
              </w:rPr>
              <w:t>returned to the Bureau of Treasury.</w:t>
            </w:r>
          </w:p>
        </w:tc>
      </w:tr>
      <w:tr w:rsidR="000F017B" w:rsidRPr="00B64A59" w14:paraId="2199BF74"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FFFFFF" w:fill="FFFFFF"/>
          </w:tcPr>
          <w:p w14:paraId="606FDC23" w14:textId="77777777" w:rsidR="000F017B" w:rsidRPr="0021604C" w:rsidRDefault="000F017B" w:rsidP="000F017B">
            <w:r w:rsidRPr="0021604C">
              <w:t>a. Partially Damage</w:t>
            </w:r>
          </w:p>
        </w:tc>
        <w:tc>
          <w:tcPr>
            <w:tcW w:w="1543" w:type="dxa"/>
            <w:tcBorders>
              <w:top w:val="single" w:sz="4" w:space="0" w:color="auto"/>
              <w:left w:val="single" w:sz="4" w:space="0" w:color="auto"/>
              <w:bottom w:val="single" w:sz="4" w:space="0" w:color="auto"/>
              <w:right w:val="single" w:sz="4" w:space="0" w:color="auto"/>
            </w:tcBorders>
          </w:tcPr>
          <w:p w14:paraId="3E5D16FD" w14:textId="77777777" w:rsidR="000F017B" w:rsidRDefault="000F017B" w:rsidP="000F017B">
            <w:pPr>
              <w:pStyle w:val="NoSpacing"/>
              <w:jc w:val="center"/>
            </w:pPr>
            <w:r>
              <w:t>2074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47AD72" w14:textId="77777777" w:rsidR="000F017B" w:rsidRDefault="000F017B" w:rsidP="000F017B">
            <w:pPr>
              <w:jc w:val="center"/>
              <w:rPr>
                <w:color w:val="000000"/>
              </w:rPr>
            </w:pPr>
            <w:r>
              <w:rPr>
                <w:color w:val="000000"/>
              </w:rPr>
              <w:t>2,009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CD5B779" w14:textId="77777777" w:rsidR="000F017B" w:rsidRPr="009F051B" w:rsidRDefault="000F017B" w:rsidP="000F017B">
            <w:r>
              <w:t>-65</w:t>
            </w:r>
          </w:p>
        </w:tc>
        <w:tc>
          <w:tcPr>
            <w:tcW w:w="1276" w:type="dxa"/>
            <w:tcBorders>
              <w:top w:val="single" w:sz="4" w:space="0" w:color="auto"/>
              <w:left w:val="single" w:sz="4" w:space="0" w:color="auto"/>
              <w:bottom w:val="single" w:sz="4" w:space="0" w:color="auto"/>
              <w:right w:val="single" w:sz="4" w:space="0" w:color="auto"/>
            </w:tcBorders>
          </w:tcPr>
          <w:p w14:paraId="4DEC5441" w14:textId="77777777" w:rsidR="000F017B" w:rsidRDefault="000F017B" w:rsidP="000F017B">
            <w:r w:rsidRPr="00517636">
              <w:t>Minor Deviation</w:t>
            </w:r>
          </w:p>
        </w:tc>
        <w:tc>
          <w:tcPr>
            <w:tcW w:w="1984" w:type="dxa"/>
            <w:tcBorders>
              <w:top w:val="single" w:sz="4" w:space="0" w:color="auto"/>
              <w:left w:val="single" w:sz="4" w:space="0" w:color="auto"/>
              <w:bottom w:val="single" w:sz="4" w:space="0" w:color="auto"/>
            </w:tcBorders>
          </w:tcPr>
          <w:p w14:paraId="7E691D66" w14:textId="77777777" w:rsidR="000F017B" w:rsidRPr="00B64A59" w:rsidRDefault="000F017B" w:rsidP="000F017B">
            <w:pPr>
              <w:pStyle w:val="NoSpacing"/>
            </w:pPr>
          </w:p>
        </w:tc>
      </w:tr>
      <w:tr w:rsidR="000F017B" w:rsidRPr="00B64A59" w14:paraId="2E123F1F"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FFFFFF" w:fill="FFFFFF"/>
            <w:vAlign w:val="center"/>
          </w:tcPr>
          <w:p w14:paraId="2252801D" w14:textId="77777777" w:rsidR="000F017B" w:rsidRPr="0021604C" w:rsidRDefault="000F017B" w:rsidP="000F017B">
            <w:pPr>
              <w:rPr>
                <w:sz w:val="24"/>
                <w:szCs w:val="20"/>
              </w:rPr>
            </w:pPr>
            <w:r w:rsidRPr="0021604C">
              <w:rPr>
                <w:sz w:val="24"/>
                <w:szCs w:val="20"/>
              </w:rPr>
              <w:t>b.Totally Damage</w:t>
            </w:r>
          </w:p>
        </w:tc>
        <w:tc>
          <w:tcPr>
            <w:tcW w:w="1543" w:type="dxa"/>
            <w:tcBorders>
              <w:top w:val="single" w:sz="4" w:space="0" w:color="auto"/>
              <w:left w:val="single" w:sz="4" w:space="0" w:color="auto"/>
              <w:bottom w:val="single" w:sz="4" w:space="0" w:color="auto"/>
              <w:right w:val="single" w:sz="4" w:space="0" w:color="auto"/>
            </w:tcBorders>
          </w:tcPr>
          <w:p w14:paraId="52098A23" w14:textId="77777777" w:rsidR="000F017B" w:rsidRDefault="000F017B" w:rsidP="000F017B">
            <w:pPr>
              <w:pStyle w:val="NoSpacing"/>
              <w:jc w:val="center"/>
            </w:pPr>
            <w:r>
              <w:t>267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0543FE" w14:textId="77777777" w:rsidR="000F017B" w:rsidRDefault="000F017B" w:rsidP="000F017B">
            <w:pPr>
              <w:jc w:val="center"/>
              <w:rPr>
                <w:color w:val="000000"/>
              </w:rPr>
            </w:pPr>
            <w:r>
              <w:rPr>
                <w:color w:val="000000"/>
              </w:rPr>
              <w:t>260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C0E5AF7" w14:textId="77777777" w:rsidR="000F017B" w:rsidRPr="009F051B" w:rsidRDefault="000F017B" w:rsidP="000F017B">
            <w:r>
              <w:t>-7</w:t>
            </w:r>
          </w:p>
        </w:tc>
        <w:tc>
          <w:tcPr>
            <w:tcW w:w="1276" w:type="dxa"/>
            <w:tcBorders>
              <w:top w:val="single" w:sz="4" w:space="0" w:color="auto"/>
              <w:left w:val="single" w:sz="4" w:space="0" w:color="auto"/>
              <w:bottom w:val="single" w:sz="4" w:space="0" w:color="auto"/>
              <w:right w:val="single" w:sz="4" w:space="0" w:color="auto"/>
            </w:tcBorders>
          </w:tcPr>
          <w:p w14:paraId="1DC47A98" w14:textId="77777777" w:rsidR="000F017B" w:rsidRDefault="000F017B" w:rsidP="000F017B">
            <w:r w:rsidRPr="00517636">
              <w:t>Minor Deviation</w:t>
            </w:r>
          </w:p>
        </w:tc>
        <w:tc>
          <w:tcPr>
            <w:tcW w:w="1984" w:type="dxa"/>
            <w:tcBorders>
              <w:top w:val="single" w:sz="4" w:space="0" w:color="auto"/>
              <w:left w:val="single" w:sz="4" w:space="0" w:color="auto"/>
              <w:bottom w:val="single" w:sz="4" w:space="0" w:color="auto"/>
            </w:tcBorders>
          </w:tcPr>
          <w:p w14:paraId="159FC9ED" w14:textId="77777777" w:rsidR="000F017B" w:rsidRPr="00B64A59" w:rsidRDefault="000F017B" w:rsidP="000F017B">
            <w:pPr>
              <w:pStyle w:val="NoSpacing"/>
            </w:pPr>
          </w:p>
        </w:tc>
      </w:tr>
      <w:tr w:rsidR="000F017B" w:rsidRPr="00B64A59" w14:paraId="0EB579DA"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FFFFFF" w:fill="FFFFFF"/>
          </w:tcPr>
          <w:p w14:paraId="0D0C60AE" w14:textId="77777777" w:rsidR="000F017B" w:rsidRPr="0021604C" w:rsidRDefault="000F017B" w:rsidP="000F017B">
            <w:pPr>
              <w:rPr>
                <w:sz w:val="24"/>
                <w:szCs w:val="20"/>
              </w:rPr>
            </w:pPr>
            <w:r w:rsidRPr="0021604C">
              <w:rPr>
                <w:sz w:val="24"/>
                <w:szCs w:val="20"/>
              </w:rPr>
              <w:t>c. Cash for Work for Community Works</w:t>
            </w:r>
          </w:p>
        </w:tc>
        <w:tc>
          <w:tcPr>
            <w:tcW w:w="1543" w:type="dxa"/>
            <w:tcBorders>
              <w:top w:val="single" w:sz="4" w:space="0" w:color="auto"/>
              <w:left w:val="single" w:sz="4" w:space="0" w:color="auto"/>
              <w:bottom w:val="single" w:sz="4" w:space="0" w:color="auto"/>
              <w:right w:val="single" w:sz="4" w:space="0" w:color="auto"/>
            </w:tcBorders>
          </w:tcPr>
          <w:p w14:paraId="2EE5B393" w14:textId="77777777" w:rsidR="000F017B" w:rsidRDefault="000F017B" w:rsidP="000F017B">
            <w:pPr>
              <w:pStyle w:val="NoSpacing"/>
              <w:jc w:val="center"/>
            </w:pPr>
            <w:r>
              <w:t>3,220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26E95E" w14:textId="77777777" w:rsidR="000F017B" w:rsidRDefault="000F017B" w:rsidP="000F017B">
            <w:pPr>
              <w:jc w:val="center"/>
              <w:rPr>
                <w:color w:val="000000"/>
              </w:rPr>
            </w:pPr>
            <w:r>
              <w:rPr>
                <w:color w:val="000000"/>
              </w:rPr>
              <w:t>2,955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8D38242" w14:textId="77777777" w:rsidR="000F017B" w:rsidRPr="009F051B" w:rsidRDefault="000F017B" w:rsidP="000F017B">
            <w:r>
              <w:t>-265</w:t>
            </w:r>
          </w:p>
        </w:tc>
        <w:tc>
          <w:tcPr>
            <w:tcW w:w="1276" w:type="dxa"/>
            <w:tcBorders>
              <w:top w:val="single" w:sz="4" w:space="0" w:color="auto"/>
              <w:left w:val="single" w:sz="4" w:space="0" w:color="auto"/>
              <w:bottom w:val="single" w:sz="4" w:space="0" w:color="auto"/>
              <w:right w:val="single" w:sz="4" w:space="0" w:color="auto"/>
            </w:tcBorders>
          </w:tcPr>
          <w:p w14:paraId="0538DFEB" w14:textId="77777777" w:rsidR="000F017B" w:rsidRPr="005F21EC" w:rsidRDefault="000F017B" w:rsidP="000F017B">
            <w:r>
              <w:t>Minor Deviation</w:t>
            </w:r>
          </w:p>
        </w:tc>
        <w:tc>
          <w:tcPr>
            <w:tcW w:w="1984" w:type="dxa"/>
            <w:tcBorders>
              <w:top w:val="single" w:sz="4" w:space="0" w:color="auto"/>
              <w:left w:val="single" w:sz="4" w:space="0" w:color="auto"/>
              <w:bottom w:val="single" w:sz="4" w:space="0" w:color="auto"/>
            </w:tcBorders>
          </w:tcPr>
          <w:p w14:paraId="71F2E7DA" w14:textId="77777777" w:rsidR="000F017B" w:rsidRPr="00B64A59" w:rsidRDefault="000F017B" w:rsidP="000F017B">
            <w:pPr>
              <w:pStyle w:val="NoSpacing"/>
            </w:pPr>
          </w:p>
        </w:tc>
      </w:tr>
      <w:tr w:rsidR="00DD3991" w:rsidRPr="00B64A59" w14:paraId="61170240"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63106A26" w14:textId="77777777" w:rsidR="00DD3991" w:rsidRDefault="00DD3991" w:rsidP="00DD3991">
            <w:pPr>
              <w:pStyle w:val="NoSpacing"/>
            </w:pPr>
            <w:r>
              <w:lastRenderedPageBreak/>
              <w:t xml:space="preserve">3.7. </w:t>
            </w:r>
            <w:r w:rsidRPr="00E217FA">
              <w:t>Food for Work for Community Works</w:t>
            </w:r>
          </w:p>
        </w:tc>
        <w:tc>
          <w:tcPr>
            <w:tcW w:w="1543" w:type="dxa"/>
            <w:tcBorders>
              <w:top w:val="single" w:sz="4" w:space="0" w:color="auto"/>
              <w:left w:val="single" w:sz="4" w:space="0" w:color="auto"/>
              <w:bottom w:val="single" w:sz="4" w:space="0" w:color="auto"/>
              <w:right w:val="single" w:sz="4" w:space="0" w:color="auto"/>
            </w:tcBorders>
          </w:tcPr>
          <w:p w14:paraId="07C5185D" w14:textId="77777777" w:rsidR="00DD3991" w:rsidRDefault="00131A71" w:rsidP="00DD3991">
            <w:pPr>
              <w:pStyle w:val="NoSpacing"/>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44521F" w14:textId="77777777" w:rsidR="00DD3991" w:rsidRDefault="00131A71" w:rsidP="00DD3991">
            <w:pPr>
              <w:jc w:val="center"/>
              <w:rPr>
                <w:color w:val="000000"/>
              </w:rPr>
            </w:pPr>
            <w:r>
              <w:rPr>
                <w:color w:val="000000"/>
              </w:rPr>
              <w:t>2,220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B0F3ACA" w14:textId="77777777" w:rsidR="00DD3991" w:rsidRPr="009F051B" w:rsidRDefault="00131A71" w:rsidP="00DD3991">
            <w:r>
              <w:t>2,220</w:t>
            </w:r>
          </w:p>
        </w:tc>
        <w:tc>
          <w:tcPr>
            <w:tcW w:w="1276" w:type="dxa"/>
            <w:tcBorders>
              <w:top w:val="single" w:sz="4" w:space="0" w:color="auto"/>
              <w:left w:val="single" w:sz="4" w:space="0" w:color="auto"/>
              <w:bottom w:val="single" w:sz="4" w:space="0" w:color="auto"/>
              <w:right w:val="single" w:sz="4" w:space="0" w:color="auto"/>
            </w:tcBorders>
          </w:tcPr>
          <w:p w14:paraId="424F34D2" w14:textId="77777777" w:rsidR="00DD3991" w:rsidRPr="005F21EC" w:rsidRDefault="00131A71" w:rsidP="00DD3991">
            <w:r>
              <w:t xml:space="preserve">Full Target Achieved </w:t>
            </w:r>
          </w:p>
        </w:tc>
        <w:tc>
          <w:tcPr>
            <w:tcW w:w="1984" w:type="dxa"/>
            <w:tcBorders>
              <w:top w:val="single" w:sz="4" w:space="0" w:color="auto"/>
              <w:left w:val="single" w:sz="4" w:space="0" w:color="auto"/>
              <w:bottom w:val="single" w:sz="4" w:space="0" w:color="auto"/>
            </w:tcBorders>
          </w:tcPr>
          <w:p w14:paraId="73AA233E" w14:textId="77777777" w:rsidR="00DD3991" w:rsidRPr="00131A71" w:rsidRDefault="00131A71" w:rsidP="00131A71">
            <w:pPr>
              <w:pStyle w:val="NoSpacing"/>
              <w:jc w:val="both"/>
            </w:pPr>
            <w:r w:rsidRPr="00131A71">
              <w:rPr>
                <w:color w:val="000000"/>
                <w:shd w:val="clear" w:color="auto" w:fill="FFFFFF"/>
              </w:rPr>
              <w:t>2100 FFPs were given to the province of Batanes for their Food-for-Work activities Basco - Clearing of creeks and tourist spots &amp; Coastal Cleanup Itbayat - Tree Planting &amp; Coastal Cleanup Ivana - Coastal Cleanup Mahatao - Coastal Cleanup Sabtang - Tree Planting Uyugan - Coastal Cleanup</w:t>
            </w:r>
          </w:p>
        </w:tc>
      </w:tr>
      <w:tr w:rsidR="00DD3991" w:rsidRPr="00B64A59" w14:paraId="183F42A4"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4ABE2D7D" w14:textId="77777777" w:rsidR="00DD3991" w:rsidRDefault="00DD3991" w:rsidP="00181C76">
            <w:pPr>
              <w:pStyle w:val="NoSpacing"/>
            </w:pPr>
            <w:r>
              <w:t xml:space="preserve">3.8. </w:t>
            </w:r>
            <w:r w:rsidRPr="00E217FA">
              <w:t>Number of households with damaged houses provided with early recovery services</w:t>
            </w:r>
          </w:p>
        </w:tc>
        <w:tc>
          <w:tcPr>
            <w:tcW w:w="1543" w:type="dxa"/>
            <w:tcBorders>
              <w:top w:val="single" w:sz="4" w:space="0" w:color="auto"/>
              <w:left w:val="single" w:sz="4" w:space="0" w:color="auto"/>
              <w:bottom w:val="single" w:sz="4" w:space="0" w:color="auto"/>
              <w:right w:val="single" w:sz="4" w:space="0" w:color="auto"/>
            </w:tcBorders>
          </w:tcPr>
          <w:p w14:paraId="7CE3DEE3" w14:textId="77777777" w:rsidR="00DD3991" w:rsidRDefault="00DD3991" w:rsidP="00DD3991">
            <w:pPr>
              <w:pStyle w:val="NoSpacing"/>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EA996F" w14:textId="77777777" w:rsidR="00DD3991" w:rsidRDefault="00DD3991" w:rsidP="00DD3991">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F0D119C" w14:textId="77777777" w:rsidR="00DD3991" w:rsidRPr="009F051B" w:rsidRDefault="00DD3991" w:rsidP="00DD3991"/>
        </w:tc>
        <w:tc>
          <w:tcPr>
            <w:tcW w:w="1276" w:type="dxa"/>
            <w:tcBorders>
              <w:top w:val="single" w:sz="4" w:space="0" w:color="auto"/>
              <w:left w:val="single" w:sz="4" w:space="0" w:color="auto"/>
              <w:bottom w:val="single" w:sz="4" w:space="0" w:color="auto"/>
              <w:right w:val="single" w:sz="4" w:space="0" w:color="auto"/>
            </w:tcBorders>
          </w:tcPr>
          <w:p w14:paraId="13698928" w14:textId="77777777" w:rsidR="00DD3991" w:rsidRPr="005F21EC" w:rsidRDefault="00DD3991" w:rsidP="00DD3991"/>
        </w:tc>
        <w:tc>
          <w:tcPr>
            <w:tcW w:w="1984" w:type="dxa"/>
            <w:tcBorders>
              <w:top w:val="single" w:sz="4" w:space="0" w:color="auto"/>
              <w:left w:val="single" w:sz="4" w:space="0" w:color="auto"/>
              <w:bottom w:val="single" w:sz="4" w:space="0" w:color="auto"/>
            </w:tcBorders>
          </w:tcPr>
          <w:p w14:paraId="52BF8432" w14:textId="77777777" w:rsidR="00DD3991" w:rsidRPr="00850376" w:rsidRDefault="00850376" w:rsidP="002610C6">
            <w:pPr>
              <w:pStyle w:val="NoSpacing"/>
              <w:jc w:val="both"/>
            </w:pPr>
            <w:r w:rsidRPr="00850376">
              <w:rPr>
                <w:color w:val="000000"/>
              </w:rPr>
              <w:t xml:space="preserve">The reported number of damaged houses is greater than the actual validated damaged houses. The total unpaid amount for ESA and CFW for affected families with damaged houses is </w:t>
            </w:r>
            <w:r w:rsidRPr="00850376">
              <w:rPr>
                <w:b/>
                <w:bCs/>
                <w:color w:val="000000"/>
              </w:rPr>
              <w:t>Php 926,150.00</w:t>
            </w:r>
            <w:r w:rsidRPr="00850376">
              <w:rPr>
                <w:color w:val="000000"/>
              </w:rPr>
              <w:t xml:space="preserve">. The said </w:t>
            </w:r>
            <w:r w:rsidR="002610C6">
              <w:rPr>
                <w:color w:val="000000"/>
              </w:rPr>
              <w:t xml:space="preserve">amount is returned to the Bureau of Treasury. </w:t>
            </w:r>
          </w:p>
        </w:tc>
      </w:tr>
      <w:tr w:rsidR="00131A71" w:rsidRPr="00B64A59" w14:paraId="65BA994D"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4DEC4433" w14:textId="77777777" w:rsidR="00131A71" w:rsidRDefault="00131A71" w:rsidP="00131A71">
            <w:pPr>
              <w:pStyle w:val="NoSpacing"/>
            </w:pPr>
            <w:r w:rsidRPr="00E217FA">
              <w:t>Emergency Shelter Assistance</w:t>
            </w:r>
          </w:p>
        </w:tc>
        <w:tc>
          <w:tcPr>
            <w:tcW w:w="1543" w:type="dxa"/>
            <w:tcBorders>
              <w:top w:val="single" w:sz="4" w:space="0" w:color="auto"/>
              <w:left w:val="single" w:sz="4" w:space="0" w:color="auto"/>
              <w:bottom w:val="single" w:sz="4" w:space="0" w:color="auto"/>
              <w:right w:val="single" w:sz="4" w:space="0" w:color="auto"/>
            </w:tcBorders>
          </w:tcPr>
          <w:p w14:paraId="7C014253" w14:textId="77777777" w:rsidR="00131A71" w:rsidRDefault="00131A71" w:rsidP="00131A71">
            <w:pPr>
              <w:pStyle w:val="NoSpacing"/>
              <w:jc w:val="center"/>
            </w:pPr>
            <w:r>
              <w:t>1,418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5A5646" w14:textId="77777777" w:rsidR="00131A71" w:rsidRDefault="00131A71" w:rsidP="00131A71">
            <w:pPr>
              <w:jc w:val="center"/>
              <w:rPr>
                <w:color w:val="000000"/>
              </w:rPr>
            </w:pPr>
            <w:r>
              <w:rPr>
                <w:color w:val="000000"/>
              </w:rPr>
              <w:t>1,350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FAC9977" w14:textId="77777777" w:rsidR="00131A71" w:rsidRPr="009F051B" w:rsidRDefault="00131A71" w:rsidP="00131A71">
            <w:r>
              <w:t>68</w:t>
            </w:r>
          </w:p>
        </w:tc>
        <w:tc>
          <w:tcPr>
            <w:tcW w:w="1276" w:type="dxa"/>
            <w:tcBorders>
              <w:top w:val="single" w:sz="4" w:space="0" w:color="auto"/>
              <w:left w:val="single" w:sz="4" w:space="0" w:color="auto"/>
              <w:bottom w:val="single" w:sz="4" w:space="0" w:color="auto"/>
              <w:right w:val="single" w:sz="4" w:space="0" w:color="auto"/>
            </w:tcBorders>
          </w:tcPr>
          <w:p w14:paraId="5B88427F" w14:textId="77777777" w:rsidR="00131A71" w:rsidRPr="005F21EC" w:rsidRDefault="00131A71" w:rsidP="00131A71">
            <w:r>
              <w:t>Minor Deviation</w:t>
            </w:r>
          </w:p>
        </w:tc>
        <w:tc>
          <w:tcPr>
            <w:tcW w:w="1984" w:type="dxa"/>
            <w:tcBorders>
              <w:top w:val="single" w:sz="4" w:space="0" w:color="auto"/>
              <w:left w:val="single" w:sz="4" w:space="0" w:color="auto"/>
              <w:bottom w:val="single" w:sz="4" w:space="0" w:color="auto"/>
            </w:tcBorders>
          </w:tcPr>
          <w:p w14:paraId="156BDAEE" w14:textId="77777777" w:rsidR="00131A71" w:rsidRPr="00B64A59" w:rsidRDefault="00131A71" w:rsidP="00131A71">
            <w:pPr>
              <w:pStyle w:val="NoSpacing"/>
            </w:pPr>
          </w:p>
        </w:tc>
      </w:tr>
      <w:tr w:rsidR="00850376" w:rsidRPr="00B64A59" w14:paraId="53535B5A"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42980BB2" w14:textId="77777777" w:rsidR="00850376" w:rsidRDefault="00850376" w:rsidP="00850376">
            <w:pPr>
              <w:pStyle w:val="NoSpacing"/>
            </w:pPr>
            <w:r>
              <w:t xml:space="preserve">a. </w:t>
            </w:r>
            <w:r w:rsidRPr="00E217FA">
              <w:t xml:space="preserve">Partially </w:t>
            </w:r>
            <w:r>
              <w:t>Damage</w:t>
            </w:r>
          </w:p>
        </w:tc>
        <w:tc>
          <w:tcPr>
            <w:tcW w:w="1543" w:type="dxa"/>
            <w:tcBorders>
              <w:top w:val="single" w:sz="4" w:space="0" w:color="auto"/>
              <w:left w:val="single" w:sz="4" w:space="0" w:color="auto"/>
              <w:bottom w:val="single" w:sz="4" w:space="0" w:color="auto"/>
              <w:right w:val="single" w:sz="4" w:space="0" w:color="auto"/>
            </w:tcBorders>
          </w:tcPr>
          <w:p w14:paraId="5E0574A5" w14:textId="77777777" w:rsidR="00850376" w:rsidRDefault="00850376" w:rsidP="00850376">
            <w:pPr>
              <w:pStyle w:val="NoSpacing"/>
              <w:jc w:val="center"/>
            </w:pPr>
            <w:r>
              <w:t>1,247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58B4A3" w14:textId="77777777" w:rsidR="00850376" w:rsidRDefault="00850376" w:rsidP="00850376">
            <w:pPr>
              <w:jc w:val="center"/>
              <w:rPr>
                <w:color w:val="000000"/>
              </w:rPr>
            </w:pPr>
            <w:r>
              <w:rPr>
                <w:color w:val="000000"/>
              </w:rPr>
              <w:t>1,184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0168AC2" w14:textId="77777777" w:rsidR="00850376" w:rsidRPr="009F051B" w:rsidRDefault="00850376" w:rsidP="00850376">
            <w:r>
              <w:t>-63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D62180" w14:textId="77777777" w:rsidR="00850376" w:rsidRDefault="00850376" w:rsidP="00850376">
            <w:r w:rsidRPr="007277ED">
              <w:t>Minor Deviation</w:t>
            </w:r>
          </w:p>
        </w:tc>
        <w:tc>
          <w:tcPr>
            <w:tcW w:w="1984" w:type="dxa"/>
            <w:tcBorders>
              <w:top w:val="single" w:sz="4" w:space="0" w:color="auto"/>
              <w:left w:val="single" w:sz="4" w:space="0" w:color="auto"/>
              <w:bottom w:val="single" w:sz="4" w:space="0" w:color="auto"/>
            </w:tcBorders>
          </w:tcPr>
          <w:p w14:paraId="50CFEA10" w14:textId="77777777" w:rsidR="00850376" w:rsidRPr="00B64A59" w:rsidRDefault="00850376" w:rsidP="00850376">
            <w:pPr>
              <w:pStyle w:val="NoSpacing"/>
            </w:pPr>
          </w:p>
        </w:tc>
      </w:tr>
      <w:tr w:rsidR="00850376" w:rsidRPr="00B64A59" w14:paraId="0587C9BC"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3FE468FB" w14:textId="77777777" w:rsidR="00850376" w:rsidRDefault="00850376" w:rsidP="00850376">
            <w:pPr>
              <w:pStyle w:val="NoSpacing"/>
            </w:pPr>
            <w:r>
              <w:t xml:space="preserve">b. </w:t>
            </w:r>
            <w:r w:rsidRPr="00E217FA">
              <w:t>Totally Damage</w:t>
            </w:r>
          </w:p>
        </w:tc>
        <w:tc>
          <w:tcPr>
            <w:tcW w:w="1543" w:type="dxa"/>
            <w:tcBorders>
              <w:top w:val="single" w:sz="4" w:space="0" w:color="auto"/>
              <w:left w:val="single" w:sz="4" w:space="0" w:color="auto"/>
              <w:bottom w:val="single" w:sz="4" w:space="0" w:color="auto"/>
              <w:right w:val="single" w:sz="4" w:space="0" w:color="auto"/>
            </w:tcBorders>
          </w:tcPr>
          <w:p w14:paraId="389C447E" w14:textId="77777777" w:rsidR="00850376" w:rsidRDefault="00850376" w:rsidP="00850376">
            <w:pPr>
              <w:pStyle w:val="NoSpacing"/>
              <w:jc w:val="center"/>
            </w:pPr>
            <w:r>
              <w:t>171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FC7169" w14:textId="77777777" w:rsidR="00850376" w:rsidRDefault="00850376" w:rsidP="00850376">
            <w:pPr>
              <w:jc w:val="center"/>
              <w:rPr>
                <w:color w:val="000000"/>
              </w:rPr>
            </w:pPr>
            <w:r>
              <w:rPr>
                <w:color w:val="000000"/>
              </w:rPr>
              <w:t>166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897A89B" w14:textId="77777777" w:rsidR="00850376" w:rsidRPr="009F051B" w:rsidRDefault="00850376" w:rsidP="00850376">
            <w: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2C0585" w14:textId="77777777" w:rsidR="00850376" w:rsidRDefault="00850376" w:rsidP="00850376">
            <w:r w:rsidRPr="007277ED">
              <w:t>Minor Deviation</w:t>
            </w:r>
          </w:p>
        </w:tc>
        <w:tc>
          <w:tcPr>
            <w:tcW w:w="1984" w:type="dxa"/>
            <w:tcBorders>
              <w:top w:val="single" w:sz="4" w:space="0" w:color="auto"/>
              <w:left w:val="single" w:sz="4" w:space="0" w:color="auto"/>
              <w:bottom w:val="single" w:sz="4" w:space="0" w:color="auto"/>
            </w:tcBorders>
          </w:tcPr>
          <w:p w14:paraId="0CDC9689" w14:textId="77777777" w:rsidR="00850376" w:rsidRPr="00B64A59" w:rsidRDefault="00850376" w:rsidP="00850376">
            <w:pPr>
              <w:pStyle w:val="NoSpacing"/>
            </w:pPr>
          </w:p>
        </w:tc>
      </w:tr>
      <w:tr w:rsidR="00131A71" w:rsidRPr="00B64A59" w14:paraId="567BD58C"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4552DB1B" w14:textId="77777777" w:rsidR="00131A71" w:rsidRDefault="00131A71" w:rsidP="00131A71">
            <w:pPr>
              <w:pStyle w:val="NoSpacing"/>
            </w:pPr>
            <w:r>
              <w:t xml:space="preserve">3.9. </w:t>
            </w:r>
            <w:r w:rsidRPr="008E0F8A">
              <w:t>Percentage compliance to the mandated stockpile</w:t>
            </w:r>
          </w:p>
        </w:tc>
        <w:tc>
          <w:tcPr>
            <w:tcW w:w="1543" w:type="dxa"/>
            <w:tcBorders>
              <w:top w:val="single" w:sz="4" w:space="0" w:color="auto"/>
              <w:left w:val="single" w:sz="4" w:space="0" w:color="auto"/>
              <w:bottom w:val="single" w:sz="4" w:space="0" w:color="auto"/>
              <w:right w:val="single" w:sz="4" w:space="0" w:color="auto"/>
            </w:tcBorders>
          </w:tcPr>
          <w:p w14:paraId="16AC824A" w14:textId="77777777" w:rsidR="00131A71" w:rsidRDefault="00131A71" w:rsidP="00131A71">
            <w:pPr>
              <w:pStyle w:val="NoSpacing"/>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0EFE70" w14:textId="77777777" w:rsidR="00131A71" w:rsidRDefault="00131A71" w:rsidP="00131A71">
            <w:pPr>
              <w:jc w:val="center"/>
              <w:rPr>
                <w:color w:val="000000"/>
              </w:rPr>
            </w:pPr>
            <w:r>
              <w:rPr>
                <w:color w:val="000000"/>
              </w:rPr>
              <w:t>174.99% (34,998)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143F950" w14:textId="77777777" w:rsidR="00131A71" w:rsidRPr="009F051B" w:rsidRDefault="00131A71" w:rsidP="00131A71">
            <w:r>
              <w:t>174.99%</w:t>
            </w:r>
          </w:p>
        </w:tc>
        <w:tc>
          <w:tcPr>
            <w:tcW w:w="1276" w:type="dxa"/>
            <w:tcBorders>
              <w:top w:val="single" w:sz="4" w:space="0" w:color="auto"/>
              <w:left w:val="single" w:sz="4" w:space="0" w:color="auto"/>
              <w:bottom w:val="single" w:sz="4" w:space="0" w:color="auto"/>
              <w:right w:val="single" w:sz="4" w:space="0" w:color="auto"/>
            </w:tcBorders>
          </w:tcPr>
          <w:p w14:paraId="47C037D2" w14:textId="77777777" w:rsidR="00131A71" w:rsidRPr="005F21EC" w:rsidRDefault="00131A71" w:rsidP="00131A71">
            <w:r>
              <w:t xml:space="preserve">Full Target Achieved </w:t>
            </w:r>
          </w:p>
        </w:tc>
        <w:tc>
          <w:tcPr>
            <w:tcW w:w="1984" w:type="dxa"/>
            <w:tcBorders>
              <w:top w:val="single" w:sz="4" w:space="0" w:color="auto"/>
              <w:left w:val="single" w:sz="4" w:space="0" w:color="auto"/>
              <w:bottom w:val="single" w:sz="4" w:space="0" w:color="auto"/>
            </w:tcBorders>
          </w:tcPr>
          <w:p w14:paraId="342A5140" w14:textId="77777777" w:rsidR="00131A71" w:rsidRPr="00850376" w:rsidRDefault="00131A71" w:rsidP="00131A71">
            <w:pPr>
              <w:pStyle w:val="NoSpacing"/>
            </w:pPr>
            <w:r w:rsidRPr="00850376">
              <w:rPr>
                <w:color w:val="000000"/>
                <w:shd w:val="clear" w:color="auto" w:fill="FFFFFF"/>
              </w:rPr>
              <w:t>Ongoing and continuous production of FFPs</w:t>
            </w:r>
          </w:p>
        </w:tc>
      </w:tr>
      <w:tr w:rsidR="00131A71" w:rsidRPr="00B64A59" w14:paraId="3ADAC066" w14:textId="77777777" w:rsidTr="00023229">
        <w:trPr>
          <w:trHeight w:val="189"/>
        </w:trPr>
        <w:tc>
          <w:tcPr>
            <w:tcW w:w="10201" w:type="dxa"/>
            <w:gridSpan w:val="7"/>
            <w:tcBorders>
              <w:bottom w:val="single" w:sz="4" w:space="0" w:color="auto"/>
            </w:tcBorders>
            <w:shd w:val="clear" w:color="auto" w:fill="FBE4D5" w:themeFill="accent2" w:themeFillTint="33"/>
          </w:tcPr>
          <w:p w14:paraId="67BC38C5" w14:textId="77777777" w:rsidR="00131A71" w:rsidRPr="008E0F8A" w:rsidRDefault="00131A71" w:rsidP="00131A71">
            <w:pPr>
              <w:pStyle w:val="NoSpacing"/>
              <w:rPr>
                <w:b/>
              </w:rPr>
            </w:pPr>
            <w:r w:rsidRPr="008E0F8A">
              <w:rPr>
                <w:b/>
              </w:rPr>
              <w:t xml:space="preserve">Organizational Outcome 4: Continuing Compliance Of Social Welfare And Development </w:t>
            </w:r>
            <w:r w:rsidRPr="009B50CA">
              <w:rPr>
                <w:b/>
                <w:shd w:val="clear" w:color="auto" w:fill="FBE4D5" w:themeFill="accent2" w:themeFillTint="33"/>
              </w:rPr>
              <w:t>Agencie</w:t>
            </w:r>
            <w:r>
              <w:rPr>
                <w:b/>
                <w:shd w:val="clear" w:color="auto" w:fill="FBE4D5" w:themeFill="accent2" w:themeFillTint="33"/>
              </w:rPr>
              <w:t>s To Standards In The Delivery o</w:t>
            </w:r>
            <w:r w:rsidRPr="009B50CA">
              <w:rPr>
                <w:b/>
                <w:shd w:val="clear" w:color="auto" w:fill="FBE4D5" w:themeFill="accent2" w:themeFillTint="33"/>
              </w:rPr>
              <w:t>f Social Welfare</w:t>
            </w:r>
            <w:r w:rsidRPr="008E0F8A">
              <w:rPr>
                <w:b/>
              </w:rPr>
              <w:t xml:space="preserve"> Services Ensured</w:t>
            </w:r>
          </w:p>
        </w:tc>
      </w:tr>
      <w:tr w:rsidR="00131A71" w:rsidRPr="00B64A59" w14:paraId="148FF86A" w14:textId="77777777" w:rsidTr="00023229">
        <w:trPr>
          <w:trHeight w:val="189"/>
        </w:trPr>
        <w:tc>
          <w:tcPr>
            <w:tcW w:w="10201" w:type="dxa"/>
            <w:gridSpan w:val="7"/>
            <w:tcBorders>
              <w:bottom w:val="single" w:sz="4" w:space="0" w:color="auto"/>
            </w:tcBorders>
            <w:shd w:val="clear" w:color="auto" w:fill="DEEAF6" w:themeFill="accent1" w:themeFillTint="33"/>
          </w:tcPr>
          <w:p w14:paraId="7513D2EE" w14:textId="77777777" w:rsidR="00131A71" w:rsidRPr="008E0F8A" w:rsidRDefault="00131A71" w:rsidP="00131A71">
            <w:pPr>
              <w:pStyle w:val="NoSpacing"/>
              <w:rPr>
                <w:b/>
              </w:rPr>
            </w:pPr>
            <w:r w:rsidRPr="008E0F8A">
              <w:rPr>
                <w:b/>
              </w:rPr>
              <w:t>Standards Regulatory Services</w:t>
            </w:r>
          </w:p>
        </w:tc>
      </w:tr>
      <w:tr w:rsidR="00131A71" w:rsidRPr="00B64A59" w14:paraId="29671B88"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7239A909" w14:textId="77777777" w:rsidR="00131A71" w:rsidRDefault="00131A71" w:rsidP="00131A71">
            <w:pPr>
              <w:pStyle w:val="NoSpacing"/>
            </w:pPr>
            <w:r>
              <w:t xml:space="preserve">4.3. </w:t>
            </w:r>
            <w:r w:rsidRPr="009B50CA">
              <w:t>Number of SWDAs registered and licensed</w:t>
            </w:r>
          </w:p>
        </w:tc>
        <w:tc>
          <w:tcPr>
            <w:tcW w:w="1543" w:type="dxa"/>
            <w:tcBorders>
              <w:top w:val="single" w:sz="4" w:space="0" w:color="auto"/>
              <w:left w:val="single" w:sz="4" w:space="0" w:color="auto"/>
              <w:bottom w:val="single" w:sz="4" w:space="0" w:color="auto"/>
              <w:right w:val="single" w:sz="4" w:space="0" w:color="auto"/>
            </w:tcBorders>
          </w:tcPr>
          <w:p w14:paraId="2916B6C2" w14:textId="77777777" w:rsidR="00131A71" w:rsidRDefault="00131A71" w:rsidP="00131A71">
            <w:pPr>
              <w:pStyle w:val="NoSpacing"/>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6DE6F3" w14:textId="77777777" w:rsidR="00131A71" w:rsidRDefault="00131A71" w:rsidP="00131A71">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E41D423" w14:textId="77777777" w:rsidR="00131A71" w:rsidRPr="009F051B" w:rsidRDefault="00131A71" w:rsidP="00131A71"/>
        </w:tc>
        <w:tc>
          <w:tcPr>
            <w:tcW w:w="1276" w:type="dxa"/>
            <w:tcBorders>
              <w:top w:val="single" w:sz="4" w:space="0" w:color="auto"/>
              <w:left w:val="single" w:sz="4" w:space="0" w:color="auto"/>
              <w:bottom w:val="single" w:sz="4" w:space="0" w:color="auto"/>
              <w:right w:val="single" w:sz="4" w:space="0" w:color="auto"/>
            </w:tcBorders>
          </w:tcPr>
          <w:p w14:paraId="3E743714" w14:textId="77777777" w:rsidR="00131A71" w:rsidRPr="005F21EC" w:rsidRDefault="00131A71" w:rsidP="00131A71"/>
        </w:tc>
        <w:tc>
          <w:tcPr>
            <w:tcW w:w="1984" w:type="dxa"/>
            <w:tcBorders>
              <w:top w:val="single" w:sz="4" w:space="0" w:color="auto"/>
              <w:left w:val="single" w:sz="4" w:space="0" w:color="auto"/>
              <w:bottom w:val="single" w:sz="4" w:space="0" w:color="auto"/>
            </w:tcBorders>
          </w:tcPr>
          <w:p w14:paraId="0B71D78E" w14:textId="77777777" w:rsidR="00131A71" w:rsidRPr="00B64A59" w:rsidRDefault="00131A71" w:rsidP="00131A71">
            <w:pPr>
              <w:pStyle w:val="NoSpacing"/>
            </w:pPr>
          </w:p>
        </w:tc>
      </w:tr>
      <w:tr w:rsidR="003C74D7" w:rsidRPr="00B64A59" w14:paraId="1BEDEAD8"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73980C0A" w14:textId="77777777" w:rsidR="003C74D7" w:rsidRDefault="003C74D7" w:rsidP="003C74D7">
            <w:pPr>
              <w:pStyle w:val="NoSpacing"/>
            </w:pPr>
            <w:r>
              <w:t>4.</w:t>
            </w:r>
            <w:r w:rsidRPr="009B50CA">
              <w:t>3.1 Registered SWDAs</w:t>
            </w:r>
          </w:p>
        </w:tc>
        <w:tc>
          <w:tcPr>
            <w:tcW w:w="1543" w:type="dxa"/>
            <w:tcBorders>
              <w:top w:val="single" w:sz="4" w:space="0" w:color="auto"/>
              <w:left w:val="single" w:sz="4" w:space="0" w:color="auto"/>
              <w:bottom w:val="single" w:sz="4" w:space="0" w:color="auto"/>
              <w:right w:val="single" w:sz="4" w:space="0" w:color="auto"/>
            </w:tcBorders>
          </w:tcPr>
          <w:p w14:paraId="2B12E175" w14:textId="77777777" w:rsidR="003C74D7" w:rsidRDefault="003C74D7" w:rsidP="003C74D7">
            <w:pPr>
              <w:pStyle w:val="NoSpacing"/>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6008DE" w14:textId="77777777" w:rsidR="003C74D7" w:rsidRDefault="003C74D7" w:rsidP="003C74D7">
            <w:pPr>
              <w:jc w:val="center"/>
              <w:rPr>
                <w:color w:val="000000"/>
              </w:rPr>
            </w:pPr>
            <w:r>
              <w:rPr>
                <w:color w:val="00000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540EB71" w14:textId="77777777" w:rsidR="003C74D7" w:rsidRPr="009F051B" w:rsidRDefault="003C74D7" w:rsidP="003C74D7">
            <w:r>
              <w:t>0</w:t>
            </w:r>
          </w:p>
        </w:tc>
        <w:tc>
          <w:tcPr>
            <w:tcW w:w="1276" w:type="dxa"/>
            <w:tcBorders>
              <w:top w:val="single" w:sz="4" w:space="0" w:color="auto"/>
              <w:left w:val="single" w:sz="4" w:space="0" w:color="auto"/>
              <w:bottom w:val="single" w:sz="4" w:space="0" w:color="auto"/>
              <w:right w:val="single" w:sz="4" w:space="0" w:color="auto"/>
            </w:tcBorders>
          </w:tcPr>
          <w:p w14:paraId="769509C4" w14:textId="77777777" w:rsidR="003C74D7" w:rsidRDefault="003C74D7" w:rsidP="003C74D7">
            <w:r w:rsidRPr="00336F5E">
              <w:t xml:space="preserve">Full Target Achieved </w:t>
            </w:r>
          </w:p>
        </w:tc>
        <w:tc>
          <w:tcPr>
            <w:tcW w:w="1984" w:type="dxa"/>
            <w:tcBorders>
              <w:top w:val="single" w:sz="4" w:space="0" w:color="auto"/>
              <w:left w:val="single" w:sz="4" w:space="0" w:color="auto"/>
              <w:bottom w:val="single" w:sz="4" w:space="0" w:color="auto"/>
            </w:tcBorders>
          </w:tcPr>
          <w:p w14:paraId="4EA49B7D" w14:textId="77777777" w:rsidR="003C74D7" w:rsidRPr="00B64A59" w:rsidRDefault="003C74D7" w:rsidP="003C74D7">
            <w:pPr>
              <w:pStyle w:val="NoSpacing"/>
            </w:pPr>
          </w:p>
        </w:tc>
      </w:tr>
      <w:tr w:rsidR="003C74D7" w:rsidRPr="00B64A59" w14:paraId="298D81C8"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1157318B" w14:textId="77777777" w:rsidR="003C74D7" w:rsidRDefault="003C74D7" w:rsidP="003C74D7">
            <w:pPr>
              <w:pStyle w:val="NoSpacing"/>
            </w:pPr>
            <w:r>
              <w:t>4.</w:t>
            </w:r>
            <w:r w:rsidRPr="009B50CA">
              <w:t>3.2 Licensed SWDAs</w:t>
            </w:r>
          </w:p>
        </w:tc>
        <w:tc>
          <w:tcPr>
            <w:tcW w:w="1543" w:type="dxa"/>
            <w:tcBorders>
              <w:top w:val="single" w:sz="4" w:space="0" w:color="auto"/>
              <w:left w:val="single" w:sz="4" w:space="0" w:color="auto"/>
              <w:bottom w:val="single" w:sz="4" w:space="0" w:color="auto"/>
              <w:right w:val="single" w:sz="4" w:space="0" w:color="auto"/>
            </w:tcBorders>
          </w:tcPr>
          <w:p w14:paraId="59146980" w14:textId="77777777" w:rsidR="003C74D7" w:rsidRDefault="003C74D7" w:rsidP="003C74D7">
            <w:pPr>
              <w:pStyle w:val="NoSpacing"/>
              <w:jc w:val="center"/>
            </w:pPr>
            <w: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2042B1" w14:textId="77777777" w:rsidR="003C74D7" w:rsidRDefault="003C74D7" w:rsidP="003C74D7">
            <w:pPr>
              <w:jc w:val="center"/>
              <w:rPr>
                <w:color w:val="000000"/>
              </w:rPr>
            </w:pPr>
            <w:r>
              <w:rPr>
                <w:color w:val="000000"/>
              </w:rPr>
              <w:t>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3AB6F6C" w14:textId="77777777" w:rsidR="003C74D7" w:rsidRPr="009F051B" w:rsidRDefault="003C74D7" w:rsidP="003C74D7">
            <w:r>
              <w:t>1</w:t>
            </w:r>
          </w:p>
        </w:tc>
        <w:tc>
          <w:tcPr>
            <w:tcW w:w="1276" w:type="dxa"/>
            <w:tcBorders>
              <w:top w:val="single" w:sz="4" w:space="0" w:color="auto"/>
              <w:left w:val="single" w:sz="4" w:space="0" w:color="auto"/>
              <w:bottom w:val="single" w:sz="4" w:space="0" w:color="auto"/>
              <w:right w:val="single" w:sz="4" w:space="0" w:color="auto"/>
            </w:tcBorders>
          </w:tcPr>
          <w:p w14:paraId="32DE4419" w14:textId="77777777" w:rsidR="003C74D7" w:rsidRDefault="003C74D7" w:rsidP="003C74D7">
            <w:r w:rsidRPr="00336F5E">
              <w:t xml:space="preserve">Full Target Achieved </w:t>
            </w:r>
          </w:p>
        </w:tc>
        <w:tc>
          <w:tcPr>
            <w:tcW w:w="1984" w:type="dxa"/>
            <w:tcBorders>
              <w:top w:val="single" w:sz="4" w:space="0" w:color="auto"/>
              <w:left w:val="single" w:sz="4" w:space="0" w:color="auto"/>
              <w:bottom w:val="single" w:sz="4" w:space="0" w:color="auto"/>
            </w:tcBorders>
          </w:tcPr>
          <w:p w14:paraId="13E73FF6" w14:textId="77777777" w:rsidR="003C74D7" w:rsidRPr="00B64A59" w:rsidRDefault="003C74D7" w:rsidP="003C74D7">
            <w:pPr>
              <w:pStyle w:val="NoSpacing"/>
            </w:pPr>
          </w:p>
        </w:tc>
      </w:tr>
      <w:tr w:rsidR="00131A71" w:rsidRPr="00B64A59" w14:paraId="76ADF9D2"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34B89F16" w14:textId="77777777" w:rsidR="00131A71" w:rsidRDefault="003C74D7" w:rsidP="00131A71">
            <w:pPr>
              <w:pStyle w:val="NoSpacing"/>
            </w:pPr>
            <w:r>
              <w:lastRenderedPageBreak/>
              <w:t>4.4</w:t>
            </w:r>
            <w:r w:rsidR="00131A71">
              <w:t xml:space="preserve"> </w:t>
            </w:r>
            <w:r w:rsidR="00131A71" w:rsidRPr="009B50CA">
              <w:t>Beneficiary CSO Accredited</w:t>
            </w:r>
          </w:p>
        </w:tc>
        <w:tc>
          <w:tcPr>
            <w:tcW w:w="1543" w:type="dxa"/>
            <w:tcBorders>
              <w:top w:val="single" w:sz="4" w:space="0" w:color="auto"/>
              <w:left w:val="single" w:sz="4" w:space="0" w:color="auto"/>
              <w:bottom w:val="single" w:sz="4" w:space="0" w:color="auto"/>
              <w:right w:val="single" w:sz="4" w:space="0" w:color="auto"/>
            </w:tcBorders>
          </w:tcPr>
          <w:p w14:paraId="29BBE922" w14:textId="77777777" w:rsidR="00131A71" w:rsidRDefault="003C74D7" w:rsidP="00131A71">
            <w:pPr>
              <w:pStyle w:val="NoSpacing"/>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EB8489" w14:textId="77777777" w:rsidR="00131A71" w:rsidRDefault="003C74D7" w:rsidP="00131A71">
            <w:pPr>
              <w:jc w:val="center"/>
              <w:rPr>
                <w:color w:val="000000"/>
              </w:rPr>
            </w:pPr>
            <w:r>
              <w:rPr>
                <w:color w:val="000000"/>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E4844AC" w14:textId="77777777" w:rsidR="00131A71" w:rsidRPr="009F051B" w:rsidRDefault="003C74D7" w:rsidP="00131A71">
            <w:r>
              <w:t>4</w:t>
            </w:r>
          </w:p>
        </w:tc>
        <w:tc>
          <w:tcPr>
            <w:tcW w:w="1276" w:type="dxa"/>
            <w:tcBorders>
              <w:top w:val="single" w:sz="4" w:space="0" w:color="auto"/>
              <w:left w:val="single" w:sz="4" w:space="0" w:color="auto"/>
              <w:bottom w:val="single" w:sz="4" w:space="0" w:color="auto"/>
              <w:right w:val="single" w:sz="4" w:space="0" w:color="auto"/>
            </w:tcBorders>
          </w:tcPr>
          <w:p w14:paraId="657F7092" w14:textId="77777777" w:rsidR="00131A71" w:rsidRPr="005F21EC" w:rsidRDefault="003C74D7" w:rsidP="00131A71">
            <w:r w:rsidRPr="00336F5E">
              <w:t>Full Target Achieved</w:t>
            </w:r>
          </w:p>
        </w:tc>
        <w:tc>
          <w:tcPr>
            <w:tcW w:w="1984" w:type="dxa"/>
            <w:tcBorders>
              <w:top w:val="single" w:sz="4" w:space="0" w:color="auto"/>
              <w:left w:val="single" w:sz="4" w:space="0" w:color="auto"/>
              <w:bottom w:val="single" w:sz="4" w:space="0" w:color="auto"/>
            </w:tcBorders>
          </w:tcPr>
          <w:p w14:paraId="650E7511" w14:textId="77777777" w:rsidR="00131A71" w:rsidRPr="00B64A59" w:rsidRDefault="00131A71" w:rsidP="00131A71">
            <w:pPr>
              <w:pStyle w:val="NoSpacing"/>
            </w:pPr>
          </w:p>
        </w:tc>
      </w:tr>
      <w:tr w:rsidR="00131A71" w:rsidRPr="00B64A59" w14:paraId="47432B6A"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0B55D5AB" w14:textId="77777777" w:rsidR="00131A71" w:rsidRDefault="003C74D7" w:rsidP="00131A71">
            <w:pPr>
              <w:pStyle w:val="NoSpacing"/>
            </w:pPr>
            <w:r>
              <w:t>4.5</w:t>
            </w:r>
            <w:r w:rsidR="00131A71">
              <w:t>.</w:t>
            </w:r>
            <w:r w:rsidR="00131A71" w:rsidRPr="009B50CA">
              <w:t>Number of service providers accredited</w:t>
            </w:r>
          </w:p>
        </w:tc>
        <w:tc>
          <w:tcPr>
            <w:tcW w:w="1543" w:type="dxa"/>
            <w:tcBorders>
              <w:top w:val="single" w:sz="4" w:space="0" w:color="auto"/>
              <w:left w:val="single" w:sz="4" w:space="0" w:color="auto"/>
              <w:bottom w:val="single" w:sz="4" w:space="0" w:color="auto"/>
              <w:right w:val="single" w:sz="4" w:space="0" w:color="auto"/>
            </w:tcBorders>
          </w:tcPr>
          <w:p w14:paraId="76F2B5A5" w14:textId="77777777" w:rsidR="00131A71" w:rsidRDefault="00131A71" w:rsidP="00131A71">
            <w:pPr>
              <w:pStyle w:val="NoSpacing"/>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2F6171" w14:textId="77777777" w:rsidR="00131A71" w:rsidRDefault="00131A71" w:rsidP="00131A71">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CBA1879" w14:textId="77777777" w:rsidR="00131A71" w:rsidRPr="009F051B" w:rsidRDefault="00131A71" w:rsidP="00131A71"/>
        </w:tc>
        <w:tc>
          <w:tcPr>
            <w:tcW w:w="1276" w:type="dxa"/>
            <w:tcBorders>
              <w:top w:val="single" w:sz="4" w:space="0" w:color="auto"/>
              <w:left w:val="single" w:sz="4" w:space="0" w:color="auto"/>
              <w:bottom w:val="single" w:sz="4" w:space="0" w:color="auto"/>
              <w:right w:val="single" w:sz="4" w:space="0" w:color="auto"/>
            </w:tcBorders>
          </w:tcPr>
          <w:p w14:paraId="7A49AD6D" w14:textId="77777777" w:rsidR="00131A71" w:rsidRPr="005F21EC" w:rsidRDefault="00131A71" w:rsidP="00131A71"/>
        </w:tc>
        <w:tc>
          <w:tcPr>
            <w:tcW w:w="1984" w:type="dxa"/>
            <w:tcBorders>
              <w:top w:val="single" w:sz="4" w:space="0" w:color="auto"/>
              <w:left w:val="single" w:sz="4" w:space="0" w:color="auto"/>
              <w:bottom w:val="single" w:sz="4" w:space="0" w:color="auto"/>
            </w:tcBorders>
          </w:tcPr>
          <w:p w14:paraId="778F15C5" w14:textId="77777777" w:rsidR="00131A71" w:rsidRPr="00B64A59" w:rsidRDefault="00131A71" w:rsidP="00131A71">
            <w:pPr>
              <w:pStyle w:val="NoSpacing"/>
            </w:pPr>
          </w:p>
        </w:tc>
      </w:tr>
      <w:tr w:rsidR="00131A71" w:rsidRPr="00B64A59" w14:paraId="03C9C7F5"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76E55D4B" w14:textId="77777777" w:rsidR="00131A71" w:rsidRDefault="003C74D7" w:rsidP="00131A71">
            <w:pPr>
              <w:pStyle w:val="NoSpacing"/>
            </w:pPr>
            <w:r>
              <w:t>4.5</w:t>
            </w:r>
            <w:r w:rsidR="00131A71">
              <w:t xml:space="preserve">.1. </w:t>
            </w:r>
            <w:r w:rsidR="00131A71" w:rsidRPr="009B50CA">
              <w:t>Pre-Marriage Counselor</w:t>
            </w:r>
          </w:p>
        </w:tc>
        <w:tc>
          <w:tcPr>
            <w:tcW w:w="1543" w:type="dxa"/>
            <w:tcBorders>
              <w:top w:val="single" w:sz="4" w:space="0" w:color="auto"/>
              <w:left w:val="single" w:sz="4" w:space="0" w:color="auto"/>
              <w:bottom w:val="single" w:sz="4" w:space="0" w:color="auto"/>
              <w:right w:val="single" w:sz="4" w:space="0" w:color="auto"/>
            </w:tcBorders>
          </w:tcPr>
          <w:p w14:paraId="5838F3A4" w14:textId="77777777" w:rsidR="00131A71" w:rsidRDefault="003C74D7" w:rsidP="00131A71">
            <w:pPr>
              <w:pStyle w:val="NoSpacing"/>
              <w:jc w:val="center"/>
            </w:pPr>
            <w: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E7BBEA" w14:textId="77777777" w:rsidR="00131A71" w:rsidRDefault="003C74D7" w:rsidP="00131A71">
            <w:pPr>
              <w:jc w:val="center"/>
              <w:rPr>
                <w:color w:val="000000"/>
              </w:rPr>
            </w:pPr>
            <w:r>
              <w:rPr>
                <w:color w:val="000000"/>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420B19D" w14:textId="77777777" w:rsidR="00131A71" w:rsidRPr="009F051B" w:rsidRDefault="003C74D7" w:rsidP="00131A71">
            <w:r>
              <w:t>-7</w:t>
            </w:r>
          </w:p>
        </w:tc>
        <w:tc>
          <w:tcPr>
            <w:tcW w:w="1276" w:type="dxa"/>
            <w:tcBorders>
              <w:top w:val="single" w:sz="4" w:space="0" w:color="auto"/>
              <w:left w:val="single" w:sz="4" w:space="0" w:color="auto"/>
              <w:bottom w:val="single" w:sz="4" w:space="0" w:color="auto"/>
              <w:right w:val="single" w:sz="4" w:space="0" w:color="auto"/>
            </w:tcBorders>
          </w:tcPr>
          <w:p w14:paraId="154A90F4" w14:textId="77777777" w:rsidR="00131A71" w:rsidRPr="005F21EC" w:rsidRDefault="006E780E" w:rsidP="00131A71">
            <w:r>
              <w:t>Major Deviation</w:t>
            </w:r>
          </w:p>
        </w:tc>
        <w:tc>
          <w:tcPr>
            <w:tcW w:w="1984" w:type="dxa"/>
            <w:tcBorders>
              <w:top w:val="single" w:sz="4" w:space="0" w:color="auto"/>
              <w:left w:val="single" w:sz="4" w:space="0" w:color="auto"/>
              <w:bottom w:val="single" w:sz="4" w:space="0" w:color="auto"/>
            </w:tcBorders>
          </w:tcPr>
          <w:p w14:paraId="68A7ADF7" w14:textId="77777777" w:rsidR="00131A71" w:rsidRPr="00B64A59" w:rsidRDefault="006E780E" w:rsidP="00131A71">
            <w:pPr>
              <w:pStyle w:val="NoSpacing"/>
            </w:pPr>
            <w:r>
              <w:t xml:space="preserve">Remaining target will </w:t>
            </w:r>
            <w:r w:rsidR="002610C6">
              <w:t xml:space="preserve">be </w:t>
            </w:r>
            <w:r>
              <w:t xml:space="preserve">served by the next quarter. </w:t>
            </w:r>
          </w:p>
        </w:tc>
      </w:tr>
      <w:tr w:rsidR="00131A71" w:rsidRPr="00B64A59" w14:paraId="20A8C2EA"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6F08B2B4" w14:textId="77777777" w:rsidR="00131A71" w:rsidRDefault="003C74D7" w:rsidP="00131A71">
            <w:pPr>
              <w:pStyle w:val="NoSpacing"/>
            </w:pPr>
            <w:r>
              <w:t>4.5</w:t>
            </w:r>
            <w:r w:rsidR="00131A71">
              <w:t xml:space="preserve">.2. </w:t>
            </w:r>
            <w:r w:rsidR="00131A71" w:rsidRPr="009B50CA">
              <w:t>DCWs(ECCD Services)</w:t>
            </w:r>
          </w:p>
        </w:tc>
        <w:tc>
          <w:tcPr>
            <w:tcW w:w="1543" w:type="dxa"/>
            <w:tcBorders>
              <w:top w:val="single" w:sz="4" w:space="0" w:color="auto"/>
              <w:left w:val="single" w:sz="4" w:space="0" w:color="auto"/>
              <w:bottom w:val="single" w:sz="4" w:space="0" w:color="auto"/>
              <w:right w:val="single" w:sz="4" w:space="0" w:color="auto"/>
            </w:tcBorders>
          </w:tcPr>
          <w:p w14:paraId="3BBCA624" w14:textId="77777777" w:rsidR="00131A71" w:rsidRDefault="003C74D7" w:rsidP="00131A71">
            <w:pPr>
              <w:pStyle w:val="NoSpacing"/>
              <w:jc w:val="center"/>
            </w:pPr>
            <w:r>
              <w:t>407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3E8B91" w14:textId="77777777" w:rsidR="00131A71" w:rsidRDefault="003C74D7" w:rsidP="00131A71">
            <w:pPr>
              <w:jc w:val="center"/>
              <w:rPr>
                <w:color w:val="000000"/>
              </w:rPr>
            </w:pPr>
            <w:r>
              <w:rPr>
                <w:color w:val="000000"/>
              </w:rPr>
              <w:t>150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D7D275F" w14:textId="77777777" w:rsidR="00131A71" w:rsidRPr="009F051B" w:rsidRDefault="006E780E" w:rsidP="00131A71">
            <w:r>
              <w:t>-257</w:t>
            </w:r>
          </w:p>
        </w:tc>
        <w:tc>
          <w:tcPr>
            <w:tcW w:w="1276" w:type="dxa"/>
            <w:tcBorders>
              <w:top w:val="single" w:sz="4" w:space="0" w:color="auto"/>
              <w:left w:val="single" w:sz="4" w:space="0" w:color="auto"/>
              <w:bottom w:val="single" w:sz="4" w:space="0" w:color="auto"/>
              <w:right w:val="single" w:sz="4" w:space="0" w:color="auto"/>
            </w:tcBorders>
          </w:tcPr>
          <w:p w14:paraId="355C3E5B" w14:textId="77777777" w:rsidR="00131A71" w:rsidRPr="005F21EC" w:rsidRDefault="006E780E" w:rsidP="00131A71">
            <w:r>
              <w:t>Major Deviation</w:t>
            </w:r>
          </w:p>
        </w:tc>
        <w:tc>
          <w:tcPr>
            <w:tcW w:w="1984" w:type="dxa"/>
            <w:tcBorders>
              <w:top w:val="single" w:sz="4" w:space="0" w:color="auto"/>
              <w:left w:val="single" w:sz="4" w:space="0" w:color="auto"/>
              <w:bottom w:val="single" w:sz="4" w:space="0" w:color="auto"/>
            </w:tcBorders>
          </w:tcPr>
          <w:p w14:paraId="2ED0F08B" w14:textId="77777777" w:rsidR="00131A71" w:rsidRPr="006E780E" w:rsidRDefault="006E780E" w:rsidP="006E780E">
            <w:pPr>
              <w:pStyle w:val="NoSpacing"/>
              <w:jc w:val="both"/>
            </w:pPr>
            <w:r w:rsidRPr="006E780E">
              <w:rPr>
                <w:color w:val="000000"/>
                <w:shd w:val="clear" w:color="auto" w:fill="FFFFFF"/>
              </w:rPr>
              <w:t>Limited request of LGUs for the conduct of external recognition assessment, also some of the child development centers are still in the process of internal recognition assessment.</w:t>
            </w:r>
          </w:p>
        </w:tc>
      </w:tr>
      <w:tr w:rsidR="00131A71" w:rsidRPr="00B64A59" w14:paraId="0E0F386B" w14:textId="77777777" w:rsidTr="00023229">
        <w:trPr>
          <w:trHeight w:val="189"/>
        </w:trPr>
        <w:tc>
          <w:tcPr>
            <w:tcW w:w="10201" w:type="dxa"/>
            <w:gridSpan w:val="7"/>
            <w:shd w:val="clear" w:color="auto" w:fill="E2EFD9" w:themeFill="accent6" w:themeFillTint="33"/>
          </w:tcPr>
          <w:p w14:paraId="054A4A40" w14:textId="77777777" w:rsidR="00131A71" w:rsidRPr="00DE075B" w:rsidRDefault="00131A71" w:rsidP="00131A71">
            <w:pPr>
              <w:pStyle w:val="NoSpacing"/>
              <w:rPr>
                <w:b/>
              </w:rPr>
            </w:pPr>
            <w:r w:rsidRPr="00DE075B">
              <w:rPr>
                <w:b/>
              </w:rPr>
              <w:t xml:space="preserve">Strategic Focus 1: Increase </w:t>
            </w:r>
            <w:r w:rsidR="004E50F7">
              <w:rPr>
                <w:b/>
              </w:rPr>
              <w:t xml:space="preserve">the </w:t>
            </w:r>
            <w:r w:rsidRPr="00DE075B">
              <w:rPr>
                <w:b/>
              </w:rPr>
              <w:t>capacity of LGUs to improve the delivery of social protection and social welfare services</w:t>
            </w:r>
          </w:p>
        </w:tc>
      </w:tr>
      <w:tr w:rsidR="00131A71" w:rsidRPr="00B64A59" w14:paraId="477283DB" w14:textId="77777777" w:rsidTr="00023229">
        <w:trPr>
          <w:trHeight w:val="189"/>
        </w:trPr>
        <w:tc>
          <w:tcPr>
            <w:tcW w:w="10201" w:type="dxa"/>
            <w:gridSpan w:val="7"/>
            <w:shd w:val="clear" w:color="auto" w:fill="FBE4D5" w:themeFill="accent2" w:themeFillTint="33"/>
          </w:tcPr>
          <w:p w14:paraId="78F41910" w14:textId="77777777" w:rsidR="00131A71" w:rsidRPr="00DE075B" w:rsidRDefault="00131A71" w:rsidP="00131A71">
            <w:pPr>
              <w:pStyle w:val="NoSpacing"/>
              <w:jc w:val="both"/>
              <w:rPr>
                <w:b/>
              </w:rPr>
            </w:pPr>
            <w:r w:rsidRPr="00DE075B">
              <w:rPr>
                <w:b/>
              </w:rPr>
              <w:t>Organizational Outcome 5: Delivery Of Social Welfare And Development Programs By Local Government Units Through Local Social Welfare And Development Offices Improved</w:t>
            </w:r>
          </w:p>
        </w:tc>
      </w:tr>
      <w:tr w:rsidR="00131A71" w:rsidRPr="00B64A59" w14:paraId="23FCC5FC" w14:textId="77777777" w:rsidTr="00023229">
        <w:trPr>
          <w:trHeight w:val="189"/>
        </w:trPr>
        <w:tc>
          <w:tcPr>
            <w:tcW w:w="10201" w:type="dxa"/>
            <w:gridSpan w:val="7"/>
            <w:shd w:val="clear" w:color="auto" w:fill="DEEAF6" w:themeFill="accent1" w:themeFillTint="33"/>
          </w:tcPr>
          <w:p w14:paraId="0F394AF1" w14:textId="77777777" w:rsidR="00131A71" w:rsidRPr="00DE075B" w:rsidRDefault="00131A71" w:rsidP="00131A71">
            <w:pPr>
              <w:pStyle w:val="NoSpacing"/>
              <w:rPr>
                <w:b/>
              </w:rPr>
            </w:pPr>
            <w:r w:rsidRPr="00DE075B">
              <w:rPr>
                <w:b/>
              </w:rPr>
              <w:t>Technical Assistance and Resource Augmentation Program</w:t>
            </w:r>
          </w:p>
        </w:tc>
      </w:tr>
      <w:tr w:rsidR="00131A71" w:rsidRPr="00B64A59" w14:paraId="4093FB5F"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3344247F" w14:textId="77777777" w:rsidR="00131A71" w:rsidRDefault="00131A71" w:rsidP="00131A71">
            <w:pPr>
              <w:pStyle w:val="NoSpacing"/>
            </w:pPr>
            <w:r>
              <w:t xml:space="preserve">5.3. </w:t>
            </w:r>
            <w:r w:rsidRPr="00D81FD7">
              <w:t>Number of LGUs  provided with LDI</w:t>
            </w:r>
          </w:p>
        </w:tc>
        <w:tc>
          <w:tcPr>
            <w:tcW w:w="1543" w:type="dxa"/>
            <w:tcBorders>
              <w:top w:val="single" w:sz="4" w:space="0" w:color="auto"/>
              <w:left w:val="single" w:sz="4" w:space="0" w:color="auto"/>
              <w:bottom w:val="single" w:sz="4" w:space="0" w:color="auto"/>
              <w:right w:val="single" w:sz="4" w:space="0" w:color="auto"/>
            </w:tcBorders>
          </w:tcPr>
          <w:p w14:paraId="5838EEB5" w14:textId="77777777" w:rsidR="00131A71" w:rsidRDefault="00181C76" w:rsidP="00131A71">
            <w:pPr>
              <w:pStyle w:val="NoSpacing"/>
              <w:jc w:val="center"/>
            </w:pPr>
            <w:r>
              <w:t>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2A760A" w14:textId="77777777" w:rsidR="00131A71" w:rsidRDefault="00181C76" w:rsidP="00131A71">
            <w:pPr>
              <w:jc w:val="center"/>
              <w:rPr>
                <w:color w:val="000000"/>
              </w:rPr>
            </w:pPr>
            <w:r>
              <w:rPr>
                <w:color w:val="000000"/>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6FF20C5" w14:textId="77777777" w:rsidR="00131A71" w:rsidRDefault="00181C76" w:rsidP="00131A71">
            <w:r>
              <w:t>0</w:t>
            </w:r>
          </w:p>
        </w:tc>
        <w:tc>
          <w:tcPr>
            <w:tcW w:w="1276" w:type="dxa"/>
            <w:tcBorders>
              <w:top w:val="single" w:sz="4" w:space="0" w:color="auto"/>
              <w:left w:val="single" w:sz="4" w:space="0" w:color="auto"/>
              <w:bottom w:val="single" w:sz="4" w:space="0" w:color="auto"/>
              <w:right w:val="single" w:sz="4" w:space="0" w:color="auto"/>
            </w:tcBorders>
          </w:tcPr>
          <w:p w14:paraId="4498F5D1" w14:textId="77777777" w:rsidR="00131A71" w:rsidRDefault="00181C76" w:rsidP="00131A71">
            <w:r>
              <w:t>Major Deviation</w:t>
            </w:r>
          </w:p>
        </w:tc>
        <w:tc>
          <w:tcPr>
            <w:tcW w:w="1984" w:type="dxa"/>
            <w:tcBorders>
              <w:top w:val="single" w:sz="4" w:space="0" w:color="auto"/>
              <w:left w:val="single" w:sz="4" w:space="0" w:color="auto"/>
              <w:bottom w:val="single" w:sz="4" w:space="0" w:color="auto"/>
            </w:tcBorders>
          </w:tcPr>
          <w:p w14:paraId="3B1B1B02" w14:textId="72EE0D61" w:rsidR="00181C76" w:rsidRDefault="00181C76" w:rsidP="00181C76">
            <w:pPr>
              <w:pStyle w:val="NoSpacing"/>
              <w:jc w:val="both"/>
              <w:rPr>
                <w:color w:val="000000"/>
                <w:shd w:val="clear" w:color="auto" w:fill="FFFFFF"/>
              </w:rPr>
            </w:pPr>
            <w:r w:rsidRPr="00181C76">
              <w:rPr>
                <w:color w:val="000000"/>
                <w:shd w:val="clear" w:color="auto" w:fill="FFFFFF"/>
              </w:rPr>
              <w:t xml:space="preserve">Conduct of LDI on Collaboration, Networking and Linkaging, Resource Mobilization, Advocacy and Partnership for the 60 LGUs was rescheduled on the 3rd quarter to be conducted on July 6-8 </w:t>
            </w:r>
            <w:r w:rsidR="00413F89" w:rsidRPr="00181C76">
              <w:rPr>
                <w:color w:val="000000"/>
                <w:shd w:val="clear" w:color="auto" w:fill="FFFFFF"/>
              </w:rPr>
              <w:t>and August</w:t>
            </w:r>
            <w:r w:rsidRPr="00181C76">
              <w:rPr>
                <w:color w:val="000000"/>
                <w:shd w:val="clear" w:color="auto" w:fill="FFFFFF"/>
              </w:rPr>
              <w:t xml:space="preserve"> 2-4) due to overlapping activities of mainstreamed training specialists</w:t>
            </w:r>
            <w:r w:rsidR="002610C6">
              <w:rPr>
                <w:color w:val="000000"/>
                <w:shd w:val="clear" w:color="auto" w:fill="FFFFFF"/>
              </w:rPr>
              <w:t>.</w:t>
            </w:r>
            <w:r>
              <w:rPr>
                <w:color w:val="000000"/>
                <w:shd w:val="clear" w:color="auto" w:fill="FFFFFF"/>
              </w:rPr>
              <w:t xml:space="preserve"> </w:t>
            </w:r>
          </w:p>
          <w:p w14:paraId="19E7EB87" w14:textId="77777777" w:rsidR="00181C76" w:rsidRDefault="00181C76" w:rsidP="00181C76">
            <w:pPr>
              <w:pStyle w:val="NoSpacing"/>
              <w:jc w:val="both"/>
              <w:rPr>
                <w:color w:val="000000"/>
                <w:shd w:val="clear" w:color="auto" w:fill="FFFFFF"/>
              </w:rPr>
            </w:pPr>
          </w:p>
          <w:p w14:paraId="71435EAD" w14:textId="77777777" w:rsidR="00131A71" w:rsidRPr="00181C76" w:rsidRDefault="00181C76" w:rsidP="00181C76">
            <w:pPr>
              <w:pStyle w:val="NoSpacing"/>
              <w:jc w:val="both"/>
            </w:pPr>
            <w:r w:rsidRPr="00181C76">
              <w:rPr>
                <w:color w:val="000000"/>
                <w:shd w:val="clear" w:color="auto" w:fill="FFFFFF"/>
              </w:rPr>
              <w:t xml:space="preserve">Proposals, PRs, LDI Designs and accredited 21.75 points by the PRC are approved during the 1st semester. In addition, the LDI will be conducted face-to-face to be able to attain the </w:t>
            </w:r>
            <w:r w:rsidRPr="00181C76">
              <w:rPr>
                <w:color w:val="000000"/>
                <w:shd w:val="clear" w:color="auto" w:fill="FFFFFF"/>
              </w:rPr>
              <w:lastRenderedPageBreak/>
              <w:t>objectives of the activity.</w:t>
            </w:r>
          </w:p>
        </w:tc>
      </w:tr>
      <w:tr w:rsidR="00131A71" w:rsidRPr="00B64A59" w14:paraId="7716D997"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081F5457" w14:textId="77777777" w:rsidR="00131A71" w:rsidRDefault="00131A71" w:rsidP="00131A71">
            <w:pPr>
              <w:pStyle w:val="NoSpacing"/>
            </w:pPr>
            <w:r>
              <w:lastRenderedPageBreak/>
              <w:t xml:space="preserve">5.4. </w:t>
            </w:r>
            <w:r w:rsidRPr="00D81FD7">
              <w:t>Number of LGUs assess in terms of their functionality level along</w:t>
            </w:r>
            <w:r>
              <w:t xml:space="preserve"> with</w:t>
            </w:r>
            <w:r w:rsidRPr="00D81FD7">
              <w:t xml:space="preserve"> </w:t>
            </w:r>
            <w:r w:rsidR="004E50F7">
              <w:t xml:space="preserve">the </w:t>
            </w:r>
            <w:r w:rsidRPr="00D81FD7">
              <w:t>delivery of social protection</w:t>
            </w:r>
          </w:p>
        </w:tc>
        <w:tc>
          <w:tcPr>
            <w:tcW w:w="1543" w:type="dxa"/>
            <w:tcBorders>
              <w:top w:val="single" w:sz="4" w:space="0" w:color="auto"/>
              <w:left w:val="single" w:sz="4" w:space="0" w:color="auto"/>
              <w:bottom w:val="single" w:sz="4" w:space="0" w:color="auto"/>
              <w:right w:val="single" w:sz="4" w:space="0" w:color="auto"/>
            </w:tcBorders>
          </w:tcPr>
          <w:p w14:paraId="34F34581" w14:textId="77777777" w:rsidR="00131A71" w:rsidRDefault="00181C76" w:rsidP="00131A71">
            <w:pPr>
              <w:pStyle w:val="NoSpacing"/>
              <w:jc w:val="center"/>
            </w:pPr>
            <w:r>
              <w:t>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BE2CAB" w14:textId="77777777" w:rsidR="00131A71" w:rsidRDefault="00181C76" w:rsidP="00131A71">
            <w:pPr>
              <w:jc w:val="center"/>
              <w:rPr>
                <w:color w:val="000000"/>
              </w:rPr>
            </w:pPr>
            <w:r>
              <w:rPr>
                <w:color w:val="000000"/>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1C48EE9" w14:textId="77777777" w:rsidR="00131A71" w:rsidRDefault="00181C76" w:rsidP="00131A71">
            <w:r>
              <w:t>0</w:t>
            </w:r>
          </w:p>
        </w:tc>
        <w:tc>
          <w:tcPr>
            <w:tcW w:w="1276" w:type="dxa"/>
            <w:tcBorders>
              <w:top w:val="single" w:sz="4" w:space="0" w:color="auto"/>
              <w:left w:val="single" w:sz="4" w:space="0" w:color="auto"/>
              <w:bottom w:val="single" w:sz="4" w:space="0" w:color="auto"/>
              <w:right w:val="single" w:sz="4" w:space="0" w:color="auto"/>
            </w:tcBorders>
          </w:tcPr>
          <w:p w14:paraId="4CAB64F9" w14:textId="77777777" w:rsidR="00131A71" w:rsidRDefault="00181C76" w:rsidP="00131A71">
            <w:r>
              <w:t>Major Deviation</w:t>
            </w:r>
          </w:p>
        </w:tc>
        <w:tc>
          <w:tcPr>
            <w:tcW w:w="1984" w:type="dxa"/>
            <w:tcBorders>
              <w:top w:val="single" w:sz="4" w:space="0" w:color="auto"/>
              <w:left w:val="single" w:sz="4" w:space="0" w:color="auto"/>
              <w:bottom w:val="single" w:sz="4" w:space="0" w:color="auto"/>
            </w:tcBorders>
          </w:tcPr>
          <w:p w14:paraId="664D869C" w14:textId="77777777" w:rsidR="00131A71" w:rsidRDefault="00181C76" w:rsidP="00181C76">
            <w:pPr>
              <w:pStyle w:val="NoSpacing"/>
              <w:jc w:val="both"/>
              <w:rPr>
                <w:color w:val="000000"/>
                <w:shd w:val="clear" w:color="auto" w:fill="FFFFFF"/>
              </w:rPr>
            </w:pPr>
            <w:r w:rsidRPr="00181C76">
              <w:rPr>
                <w:color w:val="000000"/>
                <w:shd w:val="clear" w:color="auto" w:fill="FFFFFF"/>
              </w:rPr>
              <w:t>There are seven (7) target LGUs for SDCA starting July 19, 2022</w:t>
            </w:r>
            <w:r>
              <w:rPr>
                <w:color w:val="000000"/>
                <w:shd w:val="clear" w:color="auto" w:fill="FFFFFF"/>
              </w:rPr>
              <w:t>,</w:t>
            </w:r>
            <w:r w:rsidRPr="00181C76">
              <w:rPr>
                <w:color w:val="000000"/>
                <w:shd w:val="clear" w:color="auto" w:fill="FFFFFF"/>
              </w:rPr>
              <w:t xml:space="preserve"> up to July 29, 2022. The 14 LGUs are scheduled for assessment in August 2022.</w:t>
            </w:r>
            <w:r>
              <w:rPr>
                <w:color w:val="000000"/>
                <w:shd w:val="clear" w:color="auto" w:fill="FFFFFF"/>
              </w:rPr>
              <w:t xml:space="preserve"> </w:t>
            </w:r>
            <w:r w:rsidRPr="00181C76">
              <w:rPr>
                <w:color w:val="000000"/>
                <w:shd w:val="clear" w:color="auto" w:fill="FFFFFF"/>
              </w:rPr>
              <w:t xml:space="preserve">It is noted that the schedules are distributed among the </w:t>
            </w:r>
            <w:r>
              <w:rPr>
                <w:color w:val="000000"/>
                <w:shd w:val="clear" w:color="auto" w:fill="FFFFFF"/>
              </w:rPr>
              <w:t>twenty-four</w:t>
            </w:r>
            <w:r w:rsidRPr="00181C76">
              <w:rPr>
                <w:color w:val="000000"/>
                <w:shd w:val="clear" w:color="auto" w:fill="FFFFFF"/>
              </w:rPr>
              <w:t xml:space="preserve"> (24) RMT members who are grouped into </w:t>
            </w:r>
            <w:r>
              <w:rPr>
                <w:color w:val="000000"/>
                <w:shd w:val="clear" w:color="auto" w:fill="FFFFFF"/>
              </w:rPr>
              <w:t xml:space="preserve">a </w:t>
            </w:r>
            <w:r w:rsidRPr="00181C76">
              <w:rPr>
                <w:color w:val="000000"/>
                <w:shd w:val="clear" w:color="auto" w:fill="FFFFFF"/>
              </w:rPr>
              <w:t>maximum of 5 members per group.</w:t>
            </w:r>
          </w:p>
          <w:p w14:paraId="47320CED" w14:textId="77777777" w:rsidR="00BF51D4" w:rsidRDefault="00BF51D4" w:rsidP="00181C76">
            <w:pPr>
              <w:pStyle w:val="NoSpacing"/>
              <w:jc w:val="both"/>
              <w:rPr>
                <w:color w:val="000000"/>
                <w:shd w:val="clear" w:color="auto" w:fill="FFFFFF"/>
              </w:rPr>
            </w:pPr>
          </w:p>
          <w:p w14:paraId="6626BC68" w14:textId="31843E3F" w:rsidR="00BF51D4" w:rsidRPr="00BF51D4" w:rsidRDefault="00BF51D4" w:rsidP="00413F89">
            <w:pPr>
              <w:pStyle w:val="NoSpacing"/>
              <w:jc w:val="both"/>
            </w:pPr>
            <w:r>
              <w:rPr>
                <w:color w:val="000000"/>
                <w:shd w:val="clear" w:color="auto" w:fill="FFFFFF"/>
              </w:rPr>
              <w:t>T</w:t>
            </w:r>
            <w:r w:rsidRPr="00BF51D4">
              <w:rPr>
                <w:color w:val="000000"/>
                <w:shd w:val="clear" w:color="auto" w:fill="FFFFFF"/>
              </w:rPr>
              <w:t xml:space="preserve">he schedules are distributed among the </w:t>
            </w:r>
            <w:r>
              <w:rPr>
                <w:color w:val="000000"/>
                <w:shd w:val="clear" w:color="auto" w:fill="FFFFFF"/>
              </w:rPr>
              <w:t>twenty-four</w:t>
            </w:r>
            <w:r w:rsidRPr="00BF51D4">
              <w:rPr>
                <w:color w:val="000000"/>
                <w:shd w:val="clear" w:color="auto" w:fill="FFFFFF"/>
              </w:rPr>
              <w:t xml:space="preserve"> (24) who are grouped into </w:t>
            </w:r>
            <w:r>
              <w:rPr>
                <w:color w:val="000000"/>
                <w:shd w:val="clear" w:color="auto" w:fill="FFFFFF"/>
              </w:rPr>
              <w:t xml:space="preserve">a </w:t>
            </w:r>
            <w:r w:rsidRPr="00BF51D4">
              <w:rPr>
                <w:color w:val="000000"/>
                <w:shd w:val="clear" w:color="auto" w:fill="FFFFFF"/>
              </w:rPr>
              <w:t>maximum of 5 members per group.</w:t>
            </w:r>
          </w:p>
        </w:tc>
      </w:tr>
      <w:tr w:rsidR="00131A71" w:rsidRPr="00B64A59" w14:paraId="043C7ADD"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42A660B4" w14:textId="77777777" w:rsidR="00131A71" w:rsidRDefault="00131A71" w:rsidP="00131A71">
            <w:pPr>
              <w:pStyle w:val="NoSpacing"/>
            </w:pPr>
            <w:r>
              <w:t xml:space="preserve">5.4. </w:t>
            </w:r>
            <w:r w:rsidRPr="00CF0192">
              <w:t>Percentage of LGUs provided with technical assistance</w:t>
            </w:r>
          </w:p>
        </w:tc>
        <w:tc>
          <w:tcPr>
            <w:tcW w:w="1543" w:type="dxa"/>
            <w:tcBorders>
              <w:top w:val="single" w:sz="4" w:space="0" w:color="auto"/>
              <w:left w:val="single" w:sz="4" w:space="0" w:color="auto"/>
              <w:bottom w:val="single" w:sz="4" w:space="0" w:color="auto"/>
              <w:right w:val="single" w:sz="4" w:space="0" w:color="auto"/>
            </w:tcBorders>
          </w:tcPr>
          <w:p w14:paraId="03D8B422" w14:textId="77777777" w:rsidR="00131A71" w:rsidRPr="00181C76" w:rsidRDefault="00181C76" w:rsidP="00181C76">
            <w:pPr>
              <w:pStyle w:val="NoSpacing"/>
              <w:jc w:val="both"/>
            </w:pPr>
            <w:r w:rsidRPr="00181C76">
              <w:rPr>
                <w:color w:val="000000"/>
                <w:shd w:val="clear" w:color="auto" w:fill="FFFFFF"/>
              </w:rPr>
              <w:t>85% to 100% of 98 LGUs or 83 of 98 LGUs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832E8E" w14:textId="77777777" w:rsidR="00131A71" w:rsidRPr="00181C76" w:rsidRDefault="00181C76" w:rsidP="00131A71">
            <w:pPr>
              <w:jc w:val="center"/>
              <w:rPr>
                <w:color w:val="000000"/>
              </w:rPr>
            </w:pPr>
            <w:r w:rsidRPr="00181C76">
              <w:rPr>
                <w:color w:val="000000"/>
                <w:shd w:val="clear" w:color="auto" w:fill="FFFFFF"/>
              </w:rPr>
              <w:t>77.55% (76 LGUs)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29DCBE2" w14:textId="77777777" w:rsidR="00181C76" w:rsidRPr="00181C76" w:rsidRDefault="00181C76" w:rsidP="00181C76">
            <w:pPr>
              <w:shd w:val="clear" w:color="auto" w:fill="FFFFFF"/>
              <w:spacing w:line="240" w:lineRule="auto"/>
              <w:jc w:val="center"/>
              <w:textAlignment w:val="center"/>
              <w:rPr>
                <w:rFonts w:eastAsia="Times New Roman"/>
                <w:iCs/>
                <w:color w:val="000000"/>
                <w:lang w:val="en-PH" w:eastAsia="en-PH"/>
              </w:rPr>
            </w:pPr>
            <w:r w:rsidRPr="00181C76">
              <w:rPr>
                <w:rFonts w:eastAsia="Times New Roman"/>
                <w:i/>
                <w:iCs/>
                <w:color w:val="000000"/>
                <w:sz w:val="11"/>
                <w:szCs w:val="11"/>
                <w:lang w:val="en-PH" w:eastAsia="en-PH"/>
              </w:rPr>
              <w:br/>
            </w:r>
            <w:r w:rsidRPr="00181C76">
              <w:rPr>
                <w:rFonts w:eastAsia="Times New Roman"/>
                <w:iCs/>
                <w:color w:val="000000"/>
                <w:lang w:val="en-PH" w:eastAsia="en-PH"/>
              </w:rPr>
              <w:t>12.25% (12 LGUs)</w:t>
            </w:r>
          </w:p>
          <w:p w14:paraId="5AA3962F" w14:textId="77777777" w:rsidR="00131A71" w:rsidRDefault="00131A71" w:rsidP="00131A71"/>
        </w:tc>
        <w:tc>
          <w:tcPr>
            <w:tcW w:w="1276" w:type="dxa"/>
            <w:tcBorders>
              <w:top w:val="single" w:sz="4" w:space="0" w:color="auto"/>
              <w:left w:val="single" w:sz="4" w:space="0" w:color="auto"/>
              <w:bottom w:val="single" w:sz="4" w:space="0" w:color="auto"/>
              <w:right w:val="single" w:sz="4" w:space="0" w:color="auto"/>
            </w:tcBorders>
          </w:tcPr>
          <w:p w14:paraId="50C5774B" w14:textId="77777777" w:rsidR="00131A71" w:rsidRDefault="00181C76" w:rsidP="00131A71">
            <w:r>
              <w:t>Minor Deviation</w:t>
            </w:r>
          </w:p>
        </w:tc>
        <w:tc>
          <w:tcPr>
            <w:tcW w:w="1984" w:type="dxa"/>
            <w:tcBorders>
              <w:top w:val="single" w:sz="4" w:space="0" w:color="auto"/>
              <w:left w:val="single" w:sz="4" w:space="0" w:color="auto"/>
              <w:bottom w:val="single" w:sz="4" w:space="0" w:color="auto"/>
            </w:tcBorders>
          </w:tcPr>
          <w:p w14:paraId="427E5981" w14:textId="77777777" w:rsidR="00131A71" w:rsidRPr="00BF51D4" w:rsidRDefault="00BF51D4" w:rsidP="00BF51D4">
            <w:pPr>
              <w:pStyle w:val="NoSpacing"/>
              <w:jc w:val="both"/>
            </w:pPr>
            <w:r w:rsidRPr="00BF51D4">
              <w:rPr>
                <w:color w:val="000000"/>
                <w:shd w:val="clear" w:color="auto" w:fill="FFFFFF"/>
              </w:rPr>
              <w:t xml:space="preserve">The remaining target LGUs (12) will be provided with technical assistance for the next 2 quarters. Technical Assistance through Orientation and Forum which were participated by the LGUs through the LSWDOs were conducted during the 2nd Quarter. Though not all invited LGUs have attended, it is still remarkable that majority were able to respond and attend to the invitation. Clustering based on geographical location of the </w:t>
            </w:r>
            <w:r w:rsidRPr="00BF51D4">
              <w:rPr>
                <w:color w:val="000000"/>
                <w:shd w:val="clear" w:color="auto" w:fill="FFFFFF"/>
              </w:rPr>
              <w:lastRenderedPageBreak/>
              <w:t>LGUs and invitation per batch have also facilitated their possible attendance to the activities.</w:t>
            </w:r>
          </w:p>
        </w:tc>
      </w:tr>
      <w:tr w:rsidR="00131A71" w:rsidRPr="00B64A59" w14:paraId="7451D23E"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1F423153" w14:textId="77777777" w:rsidR="00131A71" w:rsidRDefault="00131A71" w:rsidP="00131A71">
            <w:pPr>
              <w:pStyle w:val="NoSpacing"/>
            </w:pPr>
            <w:r>
              <w:lastRenderedPageBreak/>
              <w:t xml:space="preserve">5.6. </w:t>
            </w:r>
            <w:r w:rsidRPr="00BF4A09">
              <w:t>Percentage of LGUs provided with resource augmentation</w:t>
            </w:r>
          </w:p>
        </w:tc>
        <w:tc>
          <w:tcPr>
            <w:tcW w:w="1543" w:type="dxa"/>
            <w:tcBorders>
              <w:top w:val="single" w:sz="4" w:space="0" w:color="auto"/>
              <w:left w:val="single" w:sz="4" w:space="0" w:color="auto"/>
              <w:bottom w:val="single" w:sz="4" w:space="0" w:color="auto"/>
              <w:right w:val="single" w:sz="4" w:space="0" w:color="auto"/>
            </w:tcBorders>
          </w:tcPr>
          <w:p w14:paraId="496B0A1A" w14:textId="77777777" w:rsidR="00131A71" w:rsidRDefault="00BF51D4" w:rsidP="00131A71">
            <w:pPr>
              <w:pStyle w:val="NoSpacing"/>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6F7631" w14:textId="77777777" w:rsidR="00131A71" w:rsidRDefault="00B92AC2" w:rsidP="00131A71">
            <w:pPr>
              <w:jc w:val="center"/>
              <w:rPr>
                <w:color w:val="000000"/>
              </w:rPr>
            </w:pPr>
            <w:r>
              <w:rPr>
                <w:color w:val="000000"/>
              </w:rPr>
              <w:t>100% (36 LGUs)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115FB1D" w14:textId="77777777" w:rsidR="00131A71" w:rsidRDefault="00131A71" w:rsidP="00131A71">
            <w:r>
              <w:t>0</w:t>
            </w:r>
          </w:p>
        </w:tc>
        <w:tc>
          <w:tcPr>
            <w:tcW w:w="1276" w:type="dxa"/>
            <w:tcBorders>
              <w:top w:val="single" w:sz="4" w:space="0" w:color="auto"/>
              <w:left w:val="single" w:sz="4" w:space="0" w:color="auto"/>
              <w:bottom w:val="single" w:sz="4" w:space="0" w:color="auto"/>
              <w:right w:val="single" w:sz="4" w:space="0" w:color="auto"/>
            </w:tcBorders>
          </w:tcPr>
          <w:p w14:paraId="134F3BB0" w14:textId="77777777" w:rsidR="00131A71" w:rsidRDefault="00131A71" w:rsidP="00131A71">
            <w:r>
              <w:t xml:space="preserve">Full Target Achieved </w:t>
            </w:r>
          </w:p>
        </w:tc>
        <w:tc>
          <w:tcPr>
            <w:tcW w:w="1984" w:type="dxa"/>
            <w:tcBorders>
              <w:top w:val="single" w:sz="4" w:space="0" w:color="auto"/>
              <w:left w:val="single" w:sz="4" w:space="0" w:color="auto"/>
              <w:bottom w:val="single" w:sz="4" w:space="0" w:color="auto"/>
            </w:tcBorders>
          </w:tcPr>
          <w:p w14:paraId="61B19299" w14:textId="77777777" w:rsidR="00131A71" w:rsidRPr="00622FF3" w:rsidRDefault="00131A71" w:rsidP="00131A71">
            <w:pPr>
              <w:pStyle w:val="NoSpacing"/>
            </w:pPr>
            <w:r w:rsidRPr="00BF4A09">
              <w:t>The FO continues to augment LGUs with family food packs, hygiene</w:t>
            </w:r>
            <w:r>
              <w:t>,</w:t>
            </w:r>
            <w:r w:rsidRPr="00BF4A09">
              <w:t xml:space="preserve"> and sanitary kits in response to the CoVID19 pandemic and victim</w:t>
            </w:r>
            <w:r>
              <w:t>-</w:t>
            </w:r>
            <w:r w:rsidRPr="00BF4A09">
              <w:t>survivors of calamities in the region.</w:t>
            </w:r>
          </w:p>
        </w:tc>
      </w:tr>
      <w:tr w:rsidR="00131A71" w:rsidRPr="00B64A59" w14:paraId="533448B6"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01FB8C7D" w14:textId="77777777" w:rsidR="00131A71" w:rsidRDefault="00131A71" w:rsidP="00131A71">
            <w:pPr>
              <w:pStyle w:val="NoSpacing"/>
            </w:pPr>
            <w:r>
              <w:t xml:space="preserve">5.7. </w:t>
            </w:r>
            <w:r w:rsidRPr="00BF4A09">
              <w:t>Percentage of LGUs that rated TA provided as satisfactory or better</w:t>
            </w:r>
          </w:p>
        </w:tc>
        <w:tc>
          <w:tcPr>
            <w:tcW w:w="1543" w:type="dxa"/>
            <w:tcBorders>
              <w:top w:val="single" w:sz="4" w:space="0" w:color="auto"/>
              <w:left w:val="single" w:sz="4" w:space="0" w:color="auto"/>
              <w:bottom w:val="single" w:sz="4" w:space="0" w:color="auto"/>
              <w:right w:val="single" w:sz="4" w:space="0" w:color="auto"/>
            </w:tcBorders>
          </w:tcPr>
          <w:p w14:paraId="2A49438B" w14:textId="77777777" w:rsidR="00131A71" w:rsidRDefault="00B92AC2" w:rsidP="00131A71">
            <w:pPr>
              <w:pStyle w:val="NoSpacing"/>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B104D0" w14:textId="77777777" w:rsidR="00131A71" w:rsidRPr="00B92AC2" w:rsidRDefault="00B92AC2" w:rsidP="00131A71">
            <w:pPr>
              <w:jc w:val="center"/>
              <w:rPr>
                <w:color w:val="000000"/>
              </w:rPr>
            </w:pPr>
            <w:r>
              <w:rPr>
                <w:color w:val="000000"/>
                <w:shd w:val="clear" w:color="auto" w:fill="FFFFFF"/>
              </w:rPr>
              <w:t>100% (8</w:t>
            </w:r>
            <w:r w:rsidRPr="00B92AC2">
              <w:rPr>
                <w:color w:val="000000"/>
                <w:shd w:val="clear" w:color="auto" w:fill="FFFFFF"/>
              </w:rPr>
              <w:t>6 LGUs)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D127DD3" w14:textId="77777777" w:rsidR="00131A71" w:rsidRDefault="00131A71" w:rsidP="00131A71">
            <w:r>
              <w:t>0</w:t>
            </w:r>
          </w:p>
        </w:tc>
        <w:tc>
          <w:tcPr>
            <w:tcW w:w="1276" w:type="dxa"/>
            <w:tcBorders>
              <w:top w:val="single" w:sz="4" w:space="0" w:color="auto"/>
              <w:left w:val="single" w:sz="4" w:space="0" w:color="auto"/>
              <w:bottom w:val="single" w:sz="4" w:space="0" w:color="auto"/>
              <w:right w:val="single" w:sz="4" w:space="0" w:color="auto"/>
            </w:tcBorders>
          </w:tcPr>
          <w:p w14:paraId="0971CE77" w14:textId="77777777" w:rsidR="00131A71" w:rsidRDefault="00131A71" w:rsidP="00131A71">
            <w:r>
              <w:t>Full Target Achieved</w:t>
            </w:r>
          </w:p>
        </w:tc>
        <w:tc>
          <w:tcPr>
            <w:tcW w:w="1984" w:type="dxa"/>
            <w:tcBorders>
              <w:top w:val="single" w:sz="4" w:space="0" w:color="auto"/>
              <w:left w:val="single" w:sz="4" w:space="0" w:color="auto"/>
              <w:bottom w:val="single" w:sz="4" w:space="0" w:color="auto"/>
            </w:tcBorders>
          </w:tcPr>
          <w:p w14:paraId="6E0A514B" w14:textId="77777777" w:rsidR="00131A71" w:rsidRDefault="00131A71" w:rsidP="00BF51D4">
            <w:pPr>
              <w:pStyle w:val="NoSpacing"/>
              <w:jc w:val="both"/>
            </w:pPr>
            <w:r>
              <w:t>All LGUs provided with technical assistance in any form found the TA helpful and timely for their concerns.</w:t>
            </w:r>
          </w:p>
          <w:p w14:paraId="1CDD8E94" w14:textId="77777777" w:rsidR="00131A71" w:rsidRDefault="00131A71" w:rsidP="00BF51D4">
            <w:pPr>
              <w:pStyle w:val="NoSpacing"/>
              <w:jc w:val="both"/>
            </w:pPr>
            <w:r>
              <w:t xml:space="preserve"> </w:t>
            </w:r>
          </w:p>
          <w:p w14:paraId="7AB37FA1" w14:textId="77777777" w:rsidR="00131A71" w:rsidRPr="00622FF3" w:rsidRDefault="00131A71" w:rsidP="00BF51D4">
            <w:pPr>
              <w:pStyle w:val="NoSpacing"/>
              <w:jc w:val="both"/>
            </w:pPr>
            <w:r>
              <w:t>LGUs/LSWDOs rated the TA provision as satisfactory, very satisfactory, and excellent in the evaluation form.  Also, those LSWDOs conducted with Service Delivery Assessment rated the conduct of the assessment and TA provision very satisfactory and excellent in the Customer Feedback form.</w:t>
            </w:r>
          </w:p>
        </w:tc>
      </w:tr>
      <w:tr w:rsidR="00B92AC2" w:rsidRPr="00B64A59" w14:paraId="1AE11C16"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17D64676" w14:textId="77777777" w:rsidR="00B92AC2" w:rsidRDefault="00B92AC2" w:rsidP="00B92AC2">
            <w:pPr>
              <w:pStyle w:val="NoSpacing"/>
            </w:pPr>
            <w:r>
              <w:t xml:space="preserve">5.8. </w:t>
            </w:r>
            <w:r w:rsidRPr="00BF4A09">
              <w:t>Percentage of LGUs that rated RA provided as satisfactory or better</w:t>
            </w:r>
          </w:p>
        </w:tc>
        <w:tc>
          <w:tcPr>
            <w:tcW w:w="1543" w:type="dxa"/>
            <w:tcBorders>
              <w:top w:val="single" w:sz="4" w:space="0" w:color="auto"/>
              <w:left w:val="single" w:sz="4" w:space="0" w:color="auto"/>
              <w:bottom w:val="single" w:sz="4" w:space="0" w:color="auto"/>
              <w:right w:val="single" w:sz="4" w:space="0" w:color="auto"/>
            </w:tcBorders>
          </w:tcPr>
          <w:p w14:paraId="1259D644" w14:textId="77777777" w:rsidR="00B92AC2" w:rsidRDefault="00B92AC2" w:rsidP="00B92AC2">
            <w:pPr>
              <w:pStyle w:val="NoSpacing"/>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7DA76D" w14:textId="77777777" w:rsidR="00B92AC2" w:rsidRPr="00B92AC2" w:rsidRDefault="00B92AC2" w:rsidP="00B92AC2">
            <w:pPr>
              <w:jc w:val="center"/>
              <w:rPr>
                <w:color w:val="000000"/>
              </w:rPr>
            </w:pPr>
            <w:r>
              <w:rPr>
                <w:color w:val="000000"/>
                <w:shd w:val="clear" w:color="auto" w:fill="FFFFFF"/>
              </w:rPr>
              <w:t>100% (3</w:t>
            </w:r>
            <w:r w:rsidRPr="00B92AC2">
              <w:rPr>
                <w:color w:val="000000"/>
                <w:shd w:val="clear" w:color="auto" w:fill="FFFFFF"/>
              </w:rPr>
              <w:t>6 LGUs)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E8CC755" w14:textId="77777777" w:rsidR="00B92AC2" w:rsidRDefault="00B92AC2" w:rsidP="00B92AC2">
            <w:r>
              <w:t>0</w:t>
            </w:r>
          </w:p>
        </w:tc>
        <w:tc>
          <w:tcPr>
            <w:tcW w:w="1276" w:type="dxa"/>
            <w:tcBorders>
              <w:top w:val="single" w:sz="4" w:space="0" w:color="auto"/>
              <w:left w:val="single" w:sz="4" w:space="0" w:color="auto"/>
              <w:bottom w:val="single" w:sz="4" w:space="0" w:color="auto"/>
              <w:right w:val="single" w:sz="4" w:space="0" w:color="auto"/>
            </w:tcBorders>
          </w:tcPr>
          <w:p w14:paraId="39C7CD57" w14:textId="77777777" w:rsidR="00B92AC2" w:rsidRDefault="00B92AC2" w:rsidP="00B92AC2">
            <w:r>
              <w:t>Full Target Achieved</w:t>
            </w:r>
          </w:p>
        </w:tc>
        <w:tc>
          <w:tcPr>
            <w:tcW w:w="1984" w:type="dxa"/>
            <w:tcBorders>
              <w:top w:val="single" w:sz="4" w:space="0" w:color="auto"/>
              <w:left w:val="single" w:sz="4" w:space="0" w:color="auto"/>
              <w:bottom w:val="single" w:sz="4" w:space="0" w:color="auto"/>
            </w:tcBorders>
          </w:tcPr>
          <w:p w14:paraId="411D44B1" w14:textId="77777777" w:rsidR="00B92AC2" w:rsidRPr="00622FF3" w:rsidRDefault="00B92AC2" w:rsidP="00B92AC2">
            <w:pPr>
              <w:pStyle w:val="NoSpacing"/>
              <w:jc w:val="both"/>
            </w:pPr>
          </w:p>
        </w:tc>
      </w:tr>
      <w:tr w:rsidR="00131A71" w:rsidRPr="00B64A59" w14:paraId="006FC98E" w14:textId="77777777" w:rsidTr="00023229">
        <w:trPr>
          <w:trHeight w:val="189"/>
        </w:trPr>
        <w:tc>
          <w:tcPr>
            <w:tcW w:w="10201" w:type="dxa"/>
            <w:gridSpan w:val="7"/>
            <w:tcBorders>
              <w:top w:val="single" w:sz="4" w:space="0" w:color="auto"/>
              <w:left w:val="single" w:sz="4" w:space="0" w:color="auto"/>
              <w:bottom w:val="single" w:sz="4" w:space="0" w:color="auto"/>
            </w:tcBorders>
            <w:shd w:val="clear" w:color="auto" w:fill="FBE4D5" w:themeFill="accent2" w:themeFillTint="33"/>
          </w:tcPr>
          <w:p w14:paraId="48FF2D0B" w14:textId="77777777" w:rsidR="00131A71" w:rsidRPr="00C22717" w:rsidRDefault="00131A71" w:rsidP="00131A71">
            <w:pPr>
              <w:pStyle w:val="NoSpacing"/>
              <w:rPr>
                <w:b/>
              </w:rPr>
            </w:pPr>
            <w:r w:rsidRPr="00C22717">
              <w:rPr>
                <w:b/>
              </w:rPr>
              <w:t>Support To Operations (STO)</w:t>
            </w:r>
          </w:p>
        </w:tc>
      </w:tr>
      <w:tr w:rsidR="00131A71" w:rsidRPr="00B64A59" w14:paraId="56496934" w14:textId="77777777" w:rsidTr="00023229">
        <w:trPr>
          <w:trHeight w:val="189"/>
        </w:trPr>
        <w:tc>
          <w:tcPr>
            <w:tcW w:w="10201" w:type="dxa"/>
            <w:gridSpan w:val="7"/>
            <w:tcBorders>
              <w:top w:val="single" w:sz="4" w:space="0" w:color="auto"/>
              <w:left w:val="single" w:sz="4" w:space="0" w:color="auto"/>
              <w:bottom w:val="single" w:sz="4" w:space="0" w:color="auto"/>
            </w:tcBorders>
            <w:shd w:val="clear" w:color="auto" w:fill="DEEAF6" w:themeFill="accent1" w:themeFillTint="33"/>
          </w:tcPr>
          <w:p w14:paraId="5B93F5CC" w14:textId="77777777" w:rsidR="00131A71" w:rsidRPr="00C22717" w:rsidRDefault="00131A71" w:rsidP="00131A71">
            <w:pPr>
              <w:pStyle w:val="NoSpacing"/>
              <w:rPr>
                <w:b/>
              </w:rPr>
            </w:pPr>
            <w:r w:rsidRPr="00C22717">
              <w:rPr>
                <w:b/>
              </w:rPr>
              <w:t>Policy and Plan Development</w:t>
            </w:r>
          </w:p>
        </w:tc>
      </w:tr>
      <w:tr w:rsidR="00131A71" w:rsidRPr="00B64A59" w14:paraId="616C2BD1"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5955C9E1" w14:textId="77777777" w:rsidR="00131A71" w:rsidRPr="00AC3A11" w:rsidRDefault="00131A71" w:rsidP="00131A71">
            <w:pPr>
              <w:pStyle w:val="NoSpacing"/>
            </w:pPr>
            <w:r w:rsidRPr="00AC3A11">
              <w:t>6.1.Number of agency policies approved and disseminated</w:t>
            </w:r>
          </w:p>
        </w:tc>
        <w:tc>
          <w:tcPr>
            <w:tcW w:w="1543" w:type="dxa"/>
            <w:tcBorders>
              <w:top w:val="single" w:sz="4" w:space="0" w:color="auto"/>
              <w:left w:val="single" w:sz="4" w:space="0" w:color="000000"/>
              <w:bottom w:val="single" w:sz="4" w:space="0" w:color="auto"/>
              <w:right w:val="single" w:sz="4" w:space="0" w:color="auto"/>
            </w:tcBorders>
            <w:shd w:val="clear" w:color="auto" w:fill="FFFFFF" w:themeFill="background1"/>
          </w:tcPr>
          <w:p w14:paraId="4B2E9C59" w14:textId="77777777" w:rsidR="00131A71" w:rsidRPr="00AC3A11" w:rsidRDefault="00B92AC2" w:rsidP="00131A71">
            <w:pPr>
              <w:jc w:val="center"/>
              <w:rPr>
                <w:color w:val="000000"/>
              </w:rPr>
            </w:pPr>
            <w:r>
              <w:rPr>
                <w:color w:val="000000"/>
              </w:rPr>
              <w:t>ANA</w:t>
            </w:r>
          </w:p>
        </w:tc>
        <w:tc>
          <w:tcPr>
            <w:tcW w:w="1559" w:type="dxa"/>
            <w:tcBorders>
              <w:top w:val="single" w:sz="4" w:space="0" w:color="auto"/>
              <w:left w:val="single" w:sz="4" w:space="0" w:color="000000"/>
              <w:bottom w:val="single" w:sz="4" w:space="0" w:color="auto"/>
              <w:right w:val="single" w:sz="4" w:space="0" w:color="auto"/>
            </w:tcBorders>
            <w:shd w:val="clear" w:color="auto" w:fill="FFFFFF" w:themeFill="background1"/>
          </w:tcPr>
          <w:p w14:paraId="5630D37A" w14:textId="77777777" w:rsidR="00131A71" w:rsidRPr="00AC3A11" w:rsidRDefault="00B92AC2" w:rsidP="00131A71">
            <w:pPr>
              <w:jc w:val="center"/>
              <w:rPr>
                <w:color w:val="000000"/>
              </w:rPr>
            </w:pPr>
            <w:r>
              <w:rPr>
                <w:color w:val="000000"/>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A2DE4A9" w14:textId="77777777" w:rsidR="00131A71" w:rsidRDefault="00B92AC2" w:rsidP="00131A71">
            <w:r>
              <w:t>0</w:t>
            </w:r>
          </w:p>
        </w:tc>
        <w:tc>
          <w:tcPr>
            <w:tcW w:w="1276" w:type="dxa"/>
            <w:tcBorders>
              <w:top w:val="single" w:sz="4" w:space="0" w:color="auto"/>
              <w:left w:val="single" w:sz="4" w:space="0" w:color="auto"/>
              <w:bottom w:val="single" w:sz="4" w:space="0" w:color="auto"/>
              <w:right w:val="single" w:sz="4" w:space="0" w:color="auto"/>
            </w:tcBorders>
          </w:tcPr>
          <w:p w14:paraId="3DA9EC1B" w14:textId="77777777" w:rsidR="00131A71" w:rsidRDefault="00B92AC2" w:rsidP="00131A71">
            <w:r>
              <w:t xml:space="preserve">Full Target Achieved </w:t>
            </w:r>
          </w:p>
        </w:tc>
        <w:tc>
          <w:tcPr>
            <w:tcW w:w="1984" w:type="dxa"/>
            <w:tcBorders>
              <w:top w:val="single" w:sz="4" w:space="0" w:color="auto"/>
              <w:left w:val="single" w:sz="4" w:space="0" w:color="auto"/>
              <w:bottom w:val="single" w:sz="4" w:space="0" w:color="auto"/>
            </w:tcBorders>
          </w:tcPr>
          <w:p w14:paraId="3AD390F0" w14:textId="77777777" w:rsidR="00131A71" w:rsidRPr="00B92AC2" w:rsidRDefault="00B92AC2" w:rsidP="00B92AC2">
            <w:pPr>
              <w:pStyle w:val="NoSpacing"/>
              <w:jc w:val="both"/>
            </w:pPr>
            <w:r w:rsidRPr="00B92AC2">
              <w:rPr>
                <w:color w:val="000000"/>
                <w:shd w:val="clear" w:color="auto" w:fill="FFFFFF"/>
              </w:rPr>
              <w:t>Closely monitor the progress of policies approved and disseminated</w:t>
            </w:r>
          </w:p>
        </w:tc>
      </w:tr>
      <w:tr w:rsidR="00131A71" w:rsidRPr="00B64A59" w14:paraId="115150E9"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0DD9C898" w14:textId="77777777" w:rsidR="00131A71" w:rsidRPr="00AC3A11" w:rsidRDefault="00131A71" w:rsidP="00131A71">
            <w:pPr>
              <w:pStyle w:val="NoSpacing"/>
            </w:pPr>
            <w:r w:rsidRPr="00AC3A11">
              <w:t xml:space="preserve">6.2. Number of agency plans </w:t>
            </w:r>
            <w:r w:rsidRPr="00AC3A11">
              <w:lastRenderedPageBreak/>
              <w:t>formulated and disseminated</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76F1369F" w14:textId="77777777" w:rsidR="00131A71" w:rsidRPr="00AC3A11" w:rsidRDefault="00131A71" w:rsidP="00131A71">
            <w:pPr>
              <w:jc w:val="center"/>
              <w:rPr>
                <w:color w:val="000000"/>
              </w:rPr>
            </w:pPr>
          </w:p>
        </w:tc>
        <w:tc>
          <w:tcPr>
            <w:tcW w:w="1559" w:type="dxa"/>
            <w:tcBorders>
              <w:top w:val="single" w:sz="4" w:space="0" w:color="auto"/>
              <w:left w:val="single" w:sz="4" w:space="0" w:color="000000"/>
              <w:bottom w:val="single" w:sz="4" w:space="0" w:color="auto"/>
              <w:right w:val="single" w:sz="4" w:space="0" w:color="auto"/>
            </w:tcBorders>
            <w:shd w:val="clear" w:color="auto" w:fill="FFFFFF" w:themeFill="background1"/>
          </w:tcPr>
          <w:p w14:paraId="1EC975F0" w14:textId="77777777" w:rsidR="00131A71" w:rsidRPr="00AC3A11" w:rsidRDefault="00131A71" w:rsidP="00131A71">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1BE3B8D" w14:textId="77777777" w:rsidR="00131A71" w:rsidRDefault="00131A71" w:rsidP="00131A71"/>
        </w:tc>
        <w:tc>
          <w:tcPr>
            <w:tcW w:w="1276" w:type="dxa"/>
            <w:tcBorders>
              <w:top w:val="single" w:sz="4" w:space="0" w:color="auto"/>
              <w:left w:val="single" w:sz="4" w:space="0" w:color="auto"/>
              <w:bottom w:val="single" w:sz="4" w:space="0" w:color="auto"/>
              <w:right w:val="single" w:sz="4" w:space="0" w:color="auto"/>
            </w:tcBorders>
          </w:tcPr>
          <w:p w14:paraId="69FF4F03" w14:textId="77777777" w:rsidR="00131A71" w:rsidRDefault="00131A71" w:rsidP="00131A71"/>
        </w:tc>
        <w:tc>
          <w:tcPr>
            <w:tcW w:w="1984" w:type="dxa"/>
            <w:tcBorders>
              <w:top w:val="single" w:sz="4" w:space="0" w:color="auto"/>
              <w:left w:val="single" w:sz="4" w:space="0" w:color="auto"/>
              <w:bottom w:val="single" w:sz="4" w:space="0" w:color="auto"/>
            </w:tcBorders>
          </w:tcPr>
          <w:p w14:paraId="0287082D" w14:textId="77777777" w:rsidR="00131A71" w:rsidRPr="00622FF3" w:rsidRDefault="00131A71" w:rsidP="00131A71">
            <w:pPr>
              <w:pStyle w:val="NoSpacing"/>
            </w:pPr>
          </w:p>
        </w:tc>
      </w:tr>
      <w:tr w:rsidR="00B92AC2" w:rsidRPr="00B64A59" w14:paraId="09CE5AAA"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7799B4B7" w14:textId="77777777" w:rsidR="00B92AC2" w:rsidRPr="00AC3A11" w:rsidRDefault="00B92AC2" w:rsidP="00B92AC2">
            <w:pPr>
              <w:pStyle w:val="NoSpacing"/>
            </w:pPr>
            <w:r w:rsidRPr="00AC3A11">
              <w:lastRenderedPageBreak/>
              <w:t>a. Medium-term Plans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5EB6B88E" w14:textId="77777777" w:rsidR="00B92AC2" w:rsidRPr="00AC3A11" w:rsidRDefault="00B92AC2" w:rsidP="00B92AC2">
            <w:pPr>
              <w:jc w:val="center"/>
              <w:rPr>
                <w:color w:val="000000"/>
              </w:rPr>
            </w:pPr>
            <w:r>
              <w:rPr>
                <w:color w:val="000000"/>
              </w:rPr>
              <w:t>ANA</w:t>
            </w:r>
          </w:p>
        </w:tc>
        <w:tc>
          <w:tcPr>
            <w:tcW w:w="1559" w:type="dxa"/>
            <w:tcBorders>
              <w:top w:val="single" w:sz="4" w:space="0" w:color="auto"/>
              <w:left w:val="single" w:sz="4" w:space="0" w:color="000000"/>
              <w:bottom w:val="single" w:sz="4" w:space="0" w:color="auto"/>
              <w:right w:val="single" w:sz="4" w:space="0" w:color="auto"/>
            </w:tcBorders>
            <w:shd w:val="clear" w:color="auto" w:fill="FFFFFF" w:themeFill="background1"/>
          </w:tcPr>
          <w:p w14:paraId="22D304F7" w14:textId="77777777" w:rsidR="00B92AC2" w:rsidRPr="00AC3A11" w:rsidRDefault="00B92AC2" w:rsidP="00B92AC2">
            <w:pPr>
              <w:jc w:val="center"/>
              <w:rPr>
                <w:color w:val="000000"/>
              </w:rPr>
            </w:pPr>
            <w:r>
              <w:rPr>
                <w:color w:val="000000"/>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472485B" w14:textId="77777777" w:rsidR="00B92AC2" w:rsidRDefault="00362FD7" w:rsidP="00B92AC2">
            <w:r>
              <w:t>0</w:t>
            </w:r>
          </w:p>
        </w:tc>
        <w:tc>
          <w:tcPr>
            <w:tcW w:w="1276" w:type="dxa"/>
            <w:tcBorders>
              <w:top w:val="single" w:sz="4" w:space="0" w:color="auto"/>
              <w:left w:val="single" w:sz="4" w:space="0" w:color="auto"/>
              <w:bottom w:val="single" w:sz="4" w:space="0" w:color="auto"/>
              <w:right w:val="single" w:sz="4" w:space="0" w:color="auto"/>
            </w:tcBorders>
          </w:tcPr>
          <w:p w14:paraId="7F4E8F9D" w14:textId="77777777" w:rsidR="00B92AC2" w:rsidRDefault="00362FD7" w:rsidP="00B92AC2">
            <w:r>
              <w:t>Full Target Achieved</w:t>
            </w:r>
          </w:p>
        </w:tc>
        <w:tc>
          <w:tcPr>
            <w:tcW w:w="1984" w:type="dxa"/>
            <w:tcBorders>
              <w:top w:val="single" w:sz="4" w:space="0" w:color="auto"/>
              <w:left w:val="single" w:sz="4" w:space="0" w:color="auto"/>
              <w:bottom w:val="single" w:sz="4" w:space="0" w:color="auto"/>
            </w:tcBorders>
          </w:tcPr>
          <w:p w14:paraId="03E881F6" w14:textId="77777777" w:rsidR="00B92AC2" w:rsidRPr="00622FF3" w:rsidRDefault="00B92AC2" w:rsidP="00B92AC2">
            <w:pPr>
              <w:pStyle w:val="NoSpacing"/>
            </w:pPr>
          </w:p>
        </w:tc>
      </w:tr>
      <w:tr w:rsidR="00B92AC2" w:rsidRPr="00B64A59" w14:paraId="663C1D96"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4C78EA3F" w14:textId="77777777" w:rsidR="00B92AC2" w:rsidRPr="00AC3A11" w:rsidRDefault="00B92AC2" w:rsidP="00B92AC2">
            <w:pPr>
              <w:pStyle w:val="NoSpacing"/>
            </w:pPr>
            <w:r w:rsidRPr="00AC3A11">
              <w:t>b. Annual Plans</w:t>
            </w:r>
          </w:p>
          <w:p w14:paraId="55BF5F75" w14:textId="77777777" w:rsidR="00B92AC2" w:rsidRPr="00AC3A11" w:rsidRDefault="00B92AC2" w:rsidP="00B92AC2">
            <w:pPr>
              <w:pStyle w:val="NoSpacing"/>
            </w:pPr>
            <w:r w:rsidRPr="00AC3A11">
              <w:t>Number of researches completed</w:t>
            </w:r>
          </w:p>
          <w:p w14:paraId="29BDECEA" w14:textId="77777777" w:rsidR="00B92AC2" w:rsidRPr="00AC3A11" w:rsidRDefault="00B92AC2" w:rsidP="00B92AC2">
            <w:pPr>
              <w:pStyle w:val="NoSpacing"/>
            </w:pPr>
            <w:r w:rsidRPr="00AC3A11">
              <w:t>Number of position papers prepared</w:t>
            </w:r>
          </w:p>
        </w:tc>
        <w:tc>
          <w:tcPr>
            <w:tcW w:w="1543"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76368593" w14:textId="77777777" w:rsidR="00B92AC2" w:rsidRPr="00AC3A11" w:rsidRDefault="00B92AC2" w:rsidP="00B92AC2">
            <w:pPr>
              <w:jc w:val="center"/>
              <w:rPr>
                <w:color w:val="000000"/>
              </w:rPr>
            </w:pPr>
            <w:r>
              <w:rPr>
                <w:color w:val="000000"/>
              </w:rPr>
              <w:t>ANA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4AF5DED" w14:textId="77777777" w:rsidR="00B92AC2" w:rsidRPr="00AC3A11" w:rsidRDefault="00B92AC2" w:rsidP="00B92AC2">
            <w:pPr>
              <w:jc w:val="center"/>
              <w:rPr>
                <w:color w:val="000000"/>
              </w:rPr>
            </w:pPr>
            <w:r>
              <w:rPr>
                <w:color w:val="00000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6B31AF2" w14:textId="77777777" w:rsidR="00B92AC2" w:rsidRDefault="00362FD7" w:rsidP="00B92AC2">
            <w:r>
              <w:t>0</w:t>
            </w:r>
          </w:p>
        </w:tc>
        <w:tc>
          <w:tcPr>
            <w:tcW w:w="1276" w:type="dxa"/>
            <w:tcBorders>
              <w:top w:val="single" w:sz="4" w:space="0" w:color="auto"/>
              <w:left w:val="single" w:sz="4" w:space="0" w:color="auto"/>
              <w:bottom w:val="single" w:sz="4" w:space="0" w:color="auto"/>
              <w:right w:val="single" w:sz="4" w:space="0" w:color="auto"/>
            </w:tcBorders>
          </w:tcPr>
          <w:p w14:paraId="501DAB8D" w14:textId="77777777" w:rsidR="00B92AC2" w:rsidRDefault="00362FD7" w:rsidP="00B92AC2">
            <w:r>
              <w:t>Full Target Achieved</w:t>
            </w:r>
          </w:p>
        </w:tc>
        <w:tc>
          <w:tcPr>
            <w:tcW w:w="1984" w:type="dxa"/>
            <w:tcBorders>
              <w:top w:val="single" w:sz="4" w:space="0" w:color="auto"/>
              <w:left w:val="single" w:sz="4" w:space="0" w:color="auto"/>
              <w:bottom w:val="single" w:sz="4" w:space="0" w:color="auto"/>
            </w:tcBorders>
          </w:tcPr>
          <w:p w14:paraId="1D4B20F5" w14:textId="77777777" w:rsidR="00B92AC2" w:rsidRPr="00622FF3" w:rsidRDefault="00B92AC2" w:rsidP="00B92AC2">
            <w:pPr>
              <w:pStyle w:val="NoSpacing"/>
            </w:pPr>
          </w:p>
        </w:tc>
      </w:tr>
      <w:tr w:rsidR="00B92AC2" w:rsidRPr="00B64A59" w14:paraId="6ACBD7D9"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2B47E161" w14:textId="77777777" w:rsidR="00B92AC2" w:rsidRPr="00AC3A11" w:rsidRDefault="00B92AC2" w:rsidP="00B92AC2">
            <w:pPr>
              <w:rPr>
                <w:color w:val="000000"/>
              </w:rPr>
            </w:pPr>
            <w:r w:rsidRPr="00AC3A11">
              <w:rPr>
                <w:color w:val="000000"/>
              </w:rPr>
              <w:t>6.3.Number of researches completed</w:t>
            </w:r>
          </w:p>
        </w:tc>
        <w:tc>
          <w:tcPr>
            <w:tcW w:w="1543" w:type="dxa"/>
            <w:tcBorders>
              <w:top w:val="nil"/>
              <w:left w:val="single" w:sz="4" w:space="0" w:color="000000"/>
              <w:bottom w:val="single" w:sz="4" w:space="0" w:color="000000"/>
              <w:right w:val="single" w:sz="4" w:space="0" w:color="auto"/>
            </w:tcBorders>
            <w:shd w:val="clear" w:color="auto" w:fill="FFFFFF" w:themeFill="background1"/>
          </w:tcPr>
          <w:p w14:paraId="7F9E1090" w14:textId="77777777" w:rsidR="00B92AC2" w:rsidRPr="00AC3A11" w:rsidRDefault="00B92AC2" w:rsidP="00B92AC2">
            <w:pPr>
              <w:jc w:val="center"/>
              <w:rPr>
                <w:color w:val="000000"/>
              </w:rPr>
            </w:pPr>
            <w:r>
              <w:rPr>
                <w:color w:val="000000"/>
              </w:rPr>
              <w:t>ANA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EE6BB5" w14:textId="77777777" w:rsidR="00B92AC2" w:rsidRPr="00AC3A11" w:rsidRDefault="00B92AC2" w:rsidP="00B92AC2">
            <w:pPr>
              <w:jc w:val="center"/>
              <w:rPr>
                <w:color w:val="000000"/>
              </w:rPr>
            </w:pPr>
            <w:r>
              <w:rPr>
                <w:color w:val="00000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EA6E148" w14:textId="77777777" w:rsidR="00B92AC2" w:rsidRDefault="00362FD7" w:rsidP="00B92AC2">
            <w:r>
              <w:t>0</w:t>
            </w:r>
          </w:p>
        </w:tc>
        <w:tc>
          <w:tcPr>
            <w:tcW w:w="1276" w:type="dxa"/>
            <w:tcBorders>
              <w:top w:val="single" w:sz="4" w:space="0" w:color="auto"/>
              <w:left w:val="single" w:sz="4" w:space="0" w:color="auto"/>
              <w:bottom w:val="single" w:sz="4" w:space="0" w:color="auto"/>
              <w:right w:val="single" w:sz="4" w:space="0" w:color="auto"/>
            </w:tcBorders>
          </w:tcPr>
          <w:p w14:paraId="131D81F7" w14:textId="77777777" w:rsidR="00B92AC2" w:rsidRDefault="00362FD7" w:rsidP="00B92AC2">
            <w:r>
              <w:t>Full Target Achieved</w:t>
            </w:r>
          </w:p>
        </w:tc>
        <w:tc>
          <w:tcPr>
            <w:tcW w:w="1984" w:type="dxa"/>
            <w:tcBorders>
              <w:top w:val="single" w:sz="4" w:space="0" w:color="auto"/>
              <w:left w:val="single" w:sz="4" w:space="0" w:color="auto"/>
              <w:bottom w:val="single" w:sz="4" w:space="0" w:color="auto"/>
            </w:tcBorders>
          </w:tcPr>
          <w:p w14:paraId="6E0FAF7A" w14:textId="77777777" w:rsidR="00B92AC2" w:rsidRPr="00622FF3" w:rsidRDefault="00B92AC2" w:rsidP="00B92AC2">
            <w:pPr>
              <w:pStyle w:val="NoSpacing"/>
            </w:pPr>
          </w:p>
        </w:tc>
      </w:tr>
      <w:tr w:rsidR="00B92AC2" w:rsidRPr="00B64A59" w14:paraId="258FD3CA"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29249BD7" w14:textId="77777777" w:rsidR="00B92AC2" w:rsidRPr="00AC3A11" w:rsidRDefault="00B92AC2" w:rsidP="00B92AC2">
            <w:pPr>
              <w:rPr>
                <w:color w:val="000000"/>
              </w:rPr>
            </w:pPr>
            <w:r w:rsidRPr="00AC3A11">
              <w:rPr>
                <w:color w:val="000000"/>
              </w:rPr>
              <w:t>6.4. Number of position papers prepared</w:t>
            </w:r>
          </w:p>
        </w:tc>
        <w:tc>
          <w:tcPr>
            <w:tcW w:w="1543" w:type="dxa"/>
            <w:tcBorders>
              <w:top w:val="nil"/>
              <w:left w:val="single" w:sz="4" w:space="0" w:color="000000"/>
              <w:bottom w:val="single" w:sz="4" w:space="0" w:color="000000"/>
              <w:right w:val="single" w:sz="4" w:space="0" w:color="auto"/>
            </w:tcBorders>
            <w:shd w:val="clear" w:color="auto" w:fill="FFFFFF" w:themeFill="background1"/>
          </w:tcPr>
          <w:p w14:paraId="7C7B5241" w14:textId="77777777" w:rsidR="00B92AC2" w:rsidRPr="00AC3A11" w:rsidRDefault="00B92AC2" w:rsidP="00B92AC2">
            <w:pPr>
              <w:jc w:val="center"/>
              <w:rPr>
                <w:color w:val="000000"/>
              </w:rPr>
            </w:pPr>
            <w:r>
              <w:rPr>
                <w:color w:val="000000"/>
              </w:rPr>
              <w:t>ANA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0F8EF0" w14:textId="77777777" w:rsidR="00B92AC2" w:rsidRPr="00AC3A11" w:rsidRDefault="00B92AC2" w:rsidP="00B92AC2">
            <w:pPr>
              <w:jc w:val="center"/>
              <w:rPr>
                <w:color w:val="000000"/>
              </w:rPr>
            </w:pPr>
            <w:r>
              <w:rPr>
                <w:color w:val="000000"/>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9EB4276" w14:textId="77777777" w:rsidR="00B92AC2" w:rsidRDefault="00362FD7" w:rsidP="00B92AC2">
            <w:r>
              <w:t>0</w:t>
            </w:r>
          </w:p>
        </w:tc>
        <w:tc>
          <w:tcPr>
            <w:tcW w:w="1276" w:type="dxa"/>
            <w:tcBorders>
              <w:top w:val="single" w:sz="4" w:space="0" w:color="auto"/>
              <w:left w:val="single" w:sz="4" w:space="0" w:color="auto"/>
              <w:bottom w:val="single" w:sz="4" w:space="0" w:color="auto"/>
              <w:right w:val="single" w:sz="4" w:space="0" w:color="auto"/>
            </w:tcBorders>
          </w:tcPr>
          <w:p w14:paraId="61618853" w14:textId="77777777" w:rsidR="00B92AC2" w:rsidRDefault="00362FD7" w:rsidP="00B92AC2">
            <w:r>
              <w:t>N/A</w:t>
            </w:r>
          </w:p>
        </w:tc>
        <w:tc>
          <w:tcPr>
            <w:tcW w:w="1984" w:type="dxa"/>
            <w:tcBorders>
              <w:top w:val="single" w:sz="4" w:space="0" w:color="auto"/>
              <w:left w:val="single" w:sz="4" w:space="0" w:color="auto"/>
              <w:bottom w:val="single" w:sz="4" w:space="0" w:color="auto"/>
            </w:tcBorders>
          </w:tcPr>
          <w:p w14:paraId="75B7C1B9" w14:textId="77777777" w:rsidR="00B92AC2" w:rsidRPr="00622FF3" w:rsidRDefault="00B92AC2" w:rsidP="00B92AC2">
            <w:pPr>
              <w:pStyle w:val="NoSpacing"/>
            </w:pPr>
          </w:p>
        </w:tc>
      </w:tr>
      <w:tr w:rsidR="00131A71" w:rsidRPr="00B64A59" w14:paraId="76C5F024" w14:textId="77777777" w:rsidTr="00023229">
        <w:trPr>
          <w:trHeight w:val="189"/>
        </w:trPr>
        <w:tc>
          <w:tcPr>
            <w:tcW w:w="10201" w:type="dxa"/>
            <w:gridSpan w:val="7"/>
            <w:tcBorders>
              <w:top w:val="single" w:sz="4" w:space="0" w:color="auto"/>
              <w:left w:val="single" w:sz="4" w:space="0" w:color="auto"/>
              <w:bottom w:val="single" w:sz="4" w:space="0" w:color="auto"/>
            </w:tcBorders>
            <w:shd w:val="clear" w:color="auto" w:fill="DEEAF6" w:themeFill="accent1" w:themeFillTint="33"/>
          </w:tcPr>
          <w:p w14:paraId="19BCB058" w14:textId="77777777" w:rsidR="00131A71" w:rsidRPr="00AC3A11" w:rsidRDefault="00131A71" w:rsidP="00131A71">
            <w:pPr>
              <w:pStyle w:val="NoSpacing"/>
              <w:rPr>
                <w:b/>
              </w:rPr>
            </w:pPr>
            <w:r w:rsidRPr="00AC3A11">
              <w:rPr>
                <w:b/>
              </w:rPr>
              <w:t>Social Technology Development</w:t>
            </w:r>
          </w:p>
        </w:tc>
      </w:tr>
      <w:tr w:rsidR="00131A71" w:rsidRPr="00B64A59" w14:paraId="208EDA59" w14:textId="77777777" w:rsidTr="00023229">
        <w:trPr>
          <w:trHeight w:val="189"/>
        </w:trPr>
        <w:tc>
          <w:tcPr>
            <w:tcW w:w="2280" w:type="dxa"/>
            <w:tcBorders>
              <w:top w:val="single" w:sz="4" w:space="0" w:color="000000"/>
              <w:left w:val="single" w:sz="4" w:space="0" w:color="000000"/>
              <w:bottom w:val="single" w:sz="4" w:space="0" w:color="auto"/>
              <w:right w:val="single" w:sz="4" w:space="0" w:color="000000"/>
            </w:tcBorders>
            <w:shd w:val="clear" w:color="auto" w:fill="auto"/>
          </w:tcPr>
          <w:p w14:paraId="229A7C8E" w14:textId="77777777" w:rsidR="00131A71" w:rsidRPr="00AC3A11" w:rsidRDefault="00131A71" w:rsidP="00131A71">
            <w:pPr>
              <w:rPr>
                <w:color w:val="000000"/>
              </w:rPr>
            </w:pPr>
            <w:r w:rsidRPr="00AC3A11">
              <w:rPr>
                <w:color w:val="000000"/>
              </w:rPr>
              <w:t>6.5.Number of intermediaries replicating completed social technologies</w:t>
            </w:r>
          </w:p>
        </w:tc>
        <w:tc>
          <w:tcPr>
            <w:tcW w:w="1543"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BA92795" w14:textId="77777777" w:rsidR="00131A71" w:rsidRPr="00AC3A11" w:rsidRDefault="00362FD7" w:rsidP="00131A71">
            <w:pPr>
              <w:jc w:val="center"/>
              <w:rPr>
                <w:color w:val="000000"/>
              </w:rPr>
            </w:pPr>
            <w:r>
              <w:rPr>
                <w:color w:val="000000"/>
              </w:rPr>
              <w:t>5</w:t>
            </w:r>
          </w:p>
        </w:tc>
        <w:tc>
          <w:tcPr>
            <w:tcW w:w="155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3604A5B" w14:textId="77777777" w:rsidR="00131A71" w:rsidRPr="00AC3A11" w:rsidRDefault="00362FD7" w:rsidP="00131A71">
            <w:pPr>
              <w:jc w:val="center"/>
              <w:rPr>
                <w:color w:val="000000"/>
              </w:rPr>
            </w:pPr>
            <w:r>
              <w:rPr>
                <w:color w:val="000000"/>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0116CFC" w14:textId="77777777" w:rsidR="00131A71" w:rsidRDefault="00362FD7" w:rsidP="00131A71">
            <w:r>
              <w:t>-4</w:t>
            </w:r>
          </w:p>
        </w:tc>
        <w:tc>
          <w:tcPr>
            <w:tcW w:w="1276" w:type="dxa"/>
            <w:tcBorders>
              <w:top w:val="single" w:sz="4" w:space="0" w:color="auto"/>
              <w:left w:val="single" w:sz="4" w:space="0" w:color="auto"/>
              <w:bottom w:val="single" w:sz="4" w:space="0" w:color="auto"/>
              <w:right w:val="single" w:sz="4" w:space="0" w:color="auto"/>
            </w:tcBorders>
          </w:tcPr>
          <w:p w14:paraId="178ED6EB" w14:textId="77777777" w:rsidR="00131A71" w:rsidRDefault="00362FD7" w:rsidP="00131A71">
            <w:r>
              <w:t>Major Deviation</w:t>
            </w:r>
          </w:p>
        </w:tc>
        <w:tc>
          <w:tcPr>
            <w:tcW w:w="1984" w:type="dxa"/>
            <w:tcBorders>
              <w:top w:val="single" w:sz="4" w:space="0" w:color="auto"/>
              <w:left w:val="single" w:sz="4" w:space="0" w:color="auto"/>
              <w:bottom w:val="single" w:sz="4" w:space="0" w:color="auto"/>
            </w:tcBorders>
          </w:tcPr>
          <w:p w14:paraId="5DD7A0E7" w14:textId="77777777" w:rsidR="00131A71" w:rsidRDefault="00A2389D" w:rsidP="00A2389D">
            <w:pPr>
              <w:pStyle w:val="NoSpacing"/>
              <w:jc w:val="both"/>
              <w:rPr>
                <w:color w:val="000000"/>
                <w:shd w:val="clear" w:color="auto" w:fill="FFFFFF"/>
              </w:rPr>
            </w:pPr>
            <w:r w:rsidRPr="00A2389D">
              <w:rPr>
                <w:color w:val="000000"/>
                <w:shd w:val="clear" w:color="auto" w:fill="FFFFFF"/>
              </w:rPr>
              <w:t xml:space="preserve">Some of the LGUs expressed their willingness to replicate CSTs </w:t>
            </w:r>
            <w:r w:rsidR="00791BE4">
              <w:rPr>
                <w:color w:val="000000"/>
                <w:shd w:val="clear" w:color="auto" w:fill="FFFFFF"/>
              </w:rPr>
              <w:t xml:space="preserve">and </w:t>
            </w:r>
            <w:r w:rsidRPr="00A2389D">
              <w:rPr>
                <w:color w:val="000000"/>
                <w:shd w:val="clear" w:color="auto" w:fill="FFFFFF"/>
              </w:rPr>
              <w:t xml:space="preserve">are waiting for the transition of the </w:t>
            </w:r>
            <w:r>
              <w:rPr>
                <w:color w:val="000000"/>
                <w:shd w:val="clear" w:color="auto" w:fill="FFFFFF"/>
              </w:rPr>
              <w:t>newly</w:t>
            </w:r>
            <w:r w:rsidRPr="00A2389D">
              <w:rPr>
                <w:color w:val="000000"/>
                <w:shd w:val="clear" w:color="auto" w:fill="FFFFFF"/>
              </w:rPr>
              <w:t xml:space="preserve"> elected officers.</w:t>
            </w:r>
          </w:p>
          <w:p w14:paraId="3444AC37" w14:textId="77777777" w:rsidR="00791BE4" w:rsidRDefault="00791BE4" w:rsidP="00A2389D">
            <w:pPr>
              <w:pStyle w:val="NoSpacing"/>
              <w:jc w:val="both"/>
              <w:rPr>
                <w:color w:val="000000"/>
                <w:shd w:val="clear" w:color="auto" w:fill="FFFFFF"/>
              </w:rPr>
            </w:pPr>
          </w:p>
          <w:p w14:paraId="498F7BD8" w14:textId="77777777" w:rsidR="00791BE4" w:rsidRPr="00791BE4" w:rsidRDefault="00791BE4" w:rsidP="00A2389D">
            <w:pPr>
              <w:pStyle w:val="NoSpacing"/>
              <w:jc w:val="both"/>
            </w:pPr>
            <w:r w:rsidRPr="00791BE4">
              <w:rPr>
                <w:color w:val="000000"/>
                <w:shd w:val="clear" w:color="auto" w:fill="FFFFFF"/>
              </w:rPr>
              <w:t>Continue strong partnership with the LGU particularly on institutionalizing completed Social Technologies and follow-up to the LGUs expressed their interest in replicating CSTs</w:t>
            </w:r>
          </w:p>
        </w:tc>
      </w:tr>
      <w:tr w:rsidR="00131A71" w:rsidRPr="00B64A59" w14:paraId="68C21732"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235B49BF" w14:textId="77777777" w:rsidR="00131A71" w:rsidRPr="00AC3A11" w:rsidRDefault="00131A71" w:rsidP="00131A71">
            <w:pPr>
              <w:rPr>
                <w:color w:val="000000"/>
              </w:rPr>
            </w:pPr>
            <w:r w:rsidRPr="00AC3A11">
              <w:rPr>
                <w:color w:val="000000"/>
              </w:rPr>
              <w:t>6.6. Number of completed social technologies promoted</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0028EDD2" w14:textId="77777777" w:rsidR="00131A71" w:rsidRPr="00AC3A11" w:rsidRDefault="00362FD7" w:rsidP="00131A71">
            <w:pPr>
              <w:jc w:val="center"/>
              <w:rPr>
                <w:color w:val="000000"/>
              </w:rPr>
            </w:pPr>
            <w:r>
              <w:rPr>
                <w:color w:val="000000"/>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D384511" w14:textId="77777777" w:rsidR="00131A71" w:rsidRPr="00AC3A11" w:rsidRDefault="00131A71" w:rsidP="00131A71">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2BE645C" w14:textId="77777777" w:rsidR="00131A71" w:rsidRDefault="00131A71" w:rsidP="00131A71"/>
        </w:tc>
        <w:tc>
          <w:tcPr>
            <w:tcW w:w="1276" w:type="dxa"/>
            <w:tcBorders>
              <w:top w:val="single" w:sz="4" w:space="0" w:color="auto"/>
              <w:left w:val="single" w:sz="4" w:space="0" w:color="auto"/>
              <w:bottom w:val="single" w:sz="4" w:space="0" w:color="auto"/>
              <w:right w:val="single" w:sz="4" w:space="0" w:color="auto"/>
            </w:tcBorders>
          </w:tcPr>
          <w:p w14:paraId="4D1CF4B6" w14:textId="77777777" w:rsidR="00131A71" w:rsidRDefault="00131A71" w:rsidP="00131A71"/>
        </w:tc>
        <w:tc>
          <w:tcPr>
            <w:tcW w:w="1984" w:type="dxa"/>
            <w:tcBorders>
              <w:top w:val="single" w:sz="4" w:space="0" w:color="auto"/>
              <w:left w:val="single" w:sz="4" w:space="0" w:color="auto"/>
              <w:bottom w:val="single" w:sz="4" w:space="0" w:color="auto"/>
              <w:right w:val="single" w:sz="4" w:space="0" w:color="auto"/>
            </w:tcBorders>
          </w:tcPr>
          <w:p w14:paraId="6AE4DB68" w14:textId="77777777" w:rsidR="00131A71" w:rsidRPr="00622FF3" w:rsidRDefault="00131A71" w:rsidP="00131A71">
            <w:pPr>
              <w:pStyle w:val="NoSpacing"/>
            </w:pPr>
          </w:p>
        </w:tc>
      </w:tr>
      <w:tr w:rsidR="00131A71" w:rsidRPr="00B64A59" w14:paraId="580BAED8"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00C116" w14:textId="77777777" w:rsidR="00131A71" w:rsidRPr="00AC3A11" w:rsidRDefault="00131A71" w:rsidP="00131A71">
            <w:pPr>
              <w:rPr>
                <w:color w:val="000000"/>
              </w:rPr>
            </w:pPr>
            <w:r w:rsidRPr="00AC3A11">
              <w:rPr>
                <w:color w:val="000000"/>
              </w:rPr>
              <w:t>6.7. Percentage of LGUs reached through social marketing activities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2CFC66B9" w14:textId="77777777" w:rsidR="00131A71" w:rsidRPr="00AC3A11" w:rsidRDefault="00362FD7" w:rsidP="00131A71">
            <w:pPr>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9FD9940" w14:textId="77777777" w:rsidR="00131A71" w:rsidRPr="00AC3A11" w:rsidRDefault="00A2389D" w:rsidP="00131A71">
            <w:pPr>
              <w:jc w:val="center"/>
              <w:rPr>
                <w:color w:val="000000"/>
              </w:rPr>
            </w:pPr>
            <w:r>
              <w:rPr>
                <w:color w:val="000000"/>
              </w:rPr>
              <w:t>69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0ED287B" w14:textId="77777777" w:rsidR="00131A71" w:rsidRDefault="00A2389D" w:rsidP="00131A71">
            <w:r>
              <w:t>-31%</w:t>
            </w:r>
          </w:p>
        </w:tc>
        <w:tc>
          <w:tcPr>
            <w:tcW w:w="1276" w:type="dxa"/>
            <w:tcBorders>
              <w:top w:val="single" w:sz="4" w:space="0" w:color="auto"/>
              <w:left w:val="single" w:sz="4" w:space="0" w:color="auto"/>
              <w:bottom w:val="single" w:sz="4" w:space="0" w:color="auto"/>
              <w:right w:val="single" w:sz="4" w:space="0" w:color="auto"/>
            </w:tcBorders>
          </w:tcPr>
          <w:p w14:paraId="6536D6AA" w14:textId="77777777" w:rsidR="00131A71" w:rsidRDefault="00131A71" w:rsidP="00131A71"/>
        </w:tc>
        <w:tc>
          <w:tcPr>
            <w:tcW w:w="1984" w:type="dxa"/>
            <w:tcBorders>
              <w:top w:val="single" w:sz="4" w:space="0" w:color="auto"/>
              <w:left w:val="single" w:sz="4" w:space="0" w:color="auto"/>
              <w:bottom w:val="single" w:sz="4" w:space="0" w:color="auto"/>
              <w:right w:val="single" w:sz="4" w:space="0" w:color="auto"/>
            </w:tcBorders>
          </w:tcPr>
          <w:p w14:paraId="03D62BC0" w14:textId="77777777" w:rsidR="006071BB" w:rsidRPr="006071BB" w:rsidRDefault="006071BB" w:rsidP="006071BB">
            <w:pPr>
              <w:shd w:val="clear" w:color="auto" w:fill="FFFFFF"/>
              <w:spacing w:line="240" w:lineRule="auto"/>
              <w:jc w:val="both"/>
              <w:textAlignment w:val="top"/>
              <w:rPr>
                <w:rFonts w:eastAsia="Times New Roman"/>
                <w:color w:val="000000"/>
                <w:lang w:val="en-PH" w:eastAsia="en-PH"/>
              </w:rPr>
            </w:pPr>
            <w:r w:rsidRPr="006071BB">
              <w:rPr>
                <w:rFonts w:eastAsia="Times New Roman"/>
                <w:color w:val="000000"/>
                <w:sz w:val="11"/>
                <w:szCs w:val="11"/>
                <w:lang w:val="en-PH" w:eastAsia="en-PH"/>
              </w:rPr>
              <w:br/>
            </w:r>
            <w:r w:rsidRPr="006071BB">
              <w:rPr>
                <w:rFonts w:eastAsia="Times New Roman"/>
                <w:color w:val="000000"/>
                <w:lang w:val="en-PH" w:eastAsia="en-PH"/>
              </w:rPr>
              <w:t xml:space="preserve">LGU priorities and activities affected the accomplishment of targets. </w:t>
            </w:r>
            <w:r w:rsidRPr="006071BB">
              <w:rPr>
                <w:color w:val="000000"/>
                <w:shd w:val="clear" w:color="auto" w:fill="FFFFFF"/>
              </w:rPr>
              <w:t>Continue strong partnership with the LGU for the orientation on completed models of intervention</w:t>
            </w:r>
          </w:p>
          <w:p w14:paraId="4A591F1E" w14:textId="77777777" w:rsidR="00131A71" w:rsidRPr="00622FF3" w:rsidRDefault="00131A71" w:rsidP="00131A71"/>
        </w:tc>
      </w:tr>
      <w:tr w:rsidR="00131A71" w:rsidRPr="00B64A59" w14:paraId="1010864E"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533F725A" w14:textId="77777777" w:rsidR="00131A71" w:rsidRPr="00AC3A11" w:rsidRDefault="00131A71" w:rsidP="00131A71">
            <w:pPr>
              <w:rPr>
                <w:i/>
                <w:iCs/>
                <w:color w:val="000000"/>
              </w:rPr>
            </w:pPr>
            <w:r w:rsidRPr="00AC3A11">
              <w:rPr>
                <w:i/>
                <w:iCs/>
                <w:color w:val="000000"/>
              </w:rPr>
              <w:lastRenderedPageBreak/>
              <w:t>a. Total no. of LGUs targeted</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4412D763" w14:textId="77777777" w:rsidR="00131A71" w:rsidRPr="00AC3A11" w:rsidRDefault="00362FD7" w:rsidP="00131A71">
            <w:pPr>
              <w:jc w:val="center"/>
              <w:rPr>
                <w:color w:val="000000"/>
              </w:rPr>
            </w:pPr>
            <w:r>
              <w:rPr>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1DDD200" w14:textId="77777777" w:rsidR="00131A71" w:rsidRPr="00AC3A11" w:rsidRDefault="00A2389D" w:rsidP="00131A71">
            <w:pPr>
              <w:jc w:val="center"/>
              <w:rPr>
                <w:color w:val="000000"/>
              </w:rPr>
            </w:pPr>
            <w:r>
              <w:rPr>
                <w:color w:val="000000"/>
              </w:rPr>
              <w:t>54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5CE0617" w14:textId="77777777" w:rsidR="00131A71" w:rsidRDefault="00131A71" w:rsidP="00131A71"/>
        </w:tc>
        <w:tc>
          <w:tcPr>
            <w:tcW w:w="1276" w:type="dxa"/>
            <w:tcBorders>
              <w:top w:val="single" w:sz="4" w:space="0" w:color="auto"/>
              <w:left w:val="single" w:sz="4" w:space="0" w:color="auto"/>
              <w:bottom w:val="single" w:sz="4" w:space="0" w:color="auto"/>
              <w:right w:val="single" w:sz="4" w:space="0" w:color="auto"/>
            </w:tcBorders>
          </w:tcPr>
          <w:p w14:paraId="5BCC941E" w14:textId="77777777" w:rsidR="00131A71" w:rsidRDefault="00131A71" w:rsidP="00131A71"/>
        </w:tc>
        <w:tc>
          <w:tcPr>
            <w:tcW w:w="1984" w:type="dxa"/>
            <w:tcBorders>
              <w:top w:val="single" w:sz="4" w:space="0" w:color="auto"/>
              <w:left w:val="single" w:sz="4" w:space="0" w:color="auto"/>
              <w:bottom w:val="single" w:sz="4" w:space="0" w:color="auto"/>
            </w:tcBorders>
          </w:tcPr>
          <w:p w14:paraId="525B3517" w14:textId="77777777" w:rsidR="00131A71" w:rsidRPr="00622FF3" w:rsidRDefault="00131A71" w:rsidP="00131A71">
            <w:pPr>
              <w:pStyle w:val="NoSpacing"/>
            </w:pPr>
          </w:p>
        </w:tc>
      </w:tr>
      <w:tr w:rsidR="00131A71" w:rsidRPr="00B64A59" w14:paraId="6841CB52"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64FD14BB" w14:textId="77777777" w:rsidR="00131A71" w:rsidRPr="00AC3A11" w:rsidRDefault="00131A71" w:rsidP="00131A71">
            <w:pPr>
              <w:rPr>
                <w:i/>
                <w:iCs/>
                <w:color w:val="000000"/>
              </w:rPr>
            </w:pPr>
            <w:r w:rsidRPr="00AC3A11">
              <w:rPr>
                <w:i/>
                <w:iCs/>
                <w:color w:val="000000"/>
              </w:rPr>
              <w:t>b. No. of LGUs reached through social marketing activities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5C114530" w14:textId="77777777" w:rsidR="00131A71" w:rsidRPr="00AC3A11" w:rsidRDefault="00362FD7" w:rsidP="00131A71">
            <w:pPr>
              <w:jc w:val="center"/>
              <w:rPr>
                <w:color w:val="000000"/>
              </w:rPr>
            </w:pPr>
            <w:r>
              <w:rPr>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983AED" w14:textId="77777777" w:rsidR="00131A71" w:rsidRPr="00AC3A11" w:rsidRDefault="00A2389D" w:rsidP="00131A71">
            <w:pPr>
              <w:jc w:val="center"/>
              <w:rPr>
                <w:color w:val="000000"/>
              </w:rPr>
            </w:pPr>
            <w:r>
              <w:rPr>
                <w:color w:val="000000"/>
              </w:rPr>
              <w:t>37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4194C91" w14:textId="77777777" w:rsidR="00131A71" w:rsidRDefault="00A2389D" w:rsidP="00131A71">
            <w:r>
              <w:t>-17</w:t>
            </w:r>
          </w:p>
        </w:tc>
        <w:tc>
          <w:tcPr>
            <w:tcW w:w="1276" w:type="dxa"/>
            <w:tcBorders>
              <w:top w:val="single" w:sz="4" w:space="0" w:color="auto"/>
              <w:left w:val="single" w:sz="4" w:space="0" w:color="auto"/>
              <w:bottom w:val="single" w:sz="4" w:space="0" w:color="auto"/>
              <w:right w:val="single" w:sz="4" w:space="0" w:color="auto"/>
            </w:tcBorders>
          </w:tcPr>
          <w:p w14:paraId="099B58E8" w14:textId="77777777" w:rsidR="00131A71" w:rsidRDefault="00A2389D" w:rsidP="00131A71">
            <w:r>
              <w:t>Major Deviation</w:t>
            </w:r>
          </w:p>
        </w:tc>
        <w:tc>
          <w:tcPr>
            <w:tcW w:w="1984" w:type="dxa"/>
            <w:tcBorders>
              <w:top w:val="single" w:sz="4" w:space="0" w:color="auto"/>
              <w:left w:val="single" w:sz="4" w:space="0" w:color="auto"/>
              <w:bottom w:val="single" w:sz="4" w:space="0" w:color="auto"/>
            </w:tcBorders>
          </w:tcPr>
          <w:p w14:paraId="27AE6412" w14:textId="77777777" w:rsidR="00131A71" w:rsidRPr="00622FF3" w:rsidRDefault="00131A71" w:rsidP="00131A71">
            <w:pPr>
              <w:pStyle w:val="NoSpacing"/>
            </w:pPr>
          </w:p>
        </w:tc>
      </w:tr>
      <w:tr w:rsidR="00131A71" w:rsidRPr="00B64A59" w14:paraId="164A1AC3" w14:textId="77777777" w:rsidTr="00023229">
        <w:trPr>
          <w:trHeight w:val="189"/>
        </w:trPr>
        <w:tc>
          <w:tcPr>
            <w:tcW w:w="10201" w:type="dxa"/>
            <w:gridSpan w:val="7"/>
            <w:tcBorders>
              <w:top w:val="single" w:sz="4" w:space="0" w:color="000000"/>
              <w:left w:val="single" w:sz="4" w:space="0" w:color="000000"/>
              <w:bottom w:val="single" w:sz="4" w:space="0" w:color="000000"/>
            </w:tcBorders>
            <w:shd w:val="clear" w:color="auto" w:fill="DEEAF6" w:themeFill="accent1" w:themeFillTint="33"/>
          </w:tcPr>
          <w:p w14:paraId="3F21FF40" w14:textId="77777777" w:rsidR="00131A71" w:rsidRPr="00AC3A11" w:rsidRDefault="00131A71" w:rsidP="00131A71">
            <w:pPr>
              <w:pStyle w:val="NoSpacing"/>
              <w:rPr>
                <w:b/>
              </w:rPr>
            </w:pPr>
            <w:r w:rsidRPr="00AC3A11">
              <w:rPr>
                <w:b/>
              </w:rPr>
              <w:t>National Household Targeting System for Poverty Reduction</w:t>
            </w:r>
          </w:p>
        </w:tc>
      </w:tr>
      <w:tr w:rsidR="00131A71" w:rsidRPr="00B64A59" w14:paraId="5D2A0A73" w14:textId="77777777" w:rsidTr="00023229">
        <w:trPr>
          <w:trHeight w:val="189"/>
        </w:trPr>
        <w:tc>
          <w:tcPr>
            <w:tcW w:w="2280" w:type="dxa"/>
            <w:tcBorders>
              <w:top w:val="single" w:sz="4" w:space="0" w:color="000000"/>
              <w:left w:val="single" w:sz="4" w:space="0" w:color="000000"/>
              <w:bottom w:val="single" w:sz="4" w:space="0" w:color="auto"/>
              <w:right w:val="single" w:sz="4" w:space="0" w:color="000000"/>
            </w:tcBorders>
            <w:shd w:val="clear" w:color="auto" w:fill="auto"/>
          </w:tcPr>
          <w:p w14:paraId="33F15C85" w14:textId="77777777" w:rsidR="00131A71" w:rsidRPr="00AC3A11" w:rsidRDefault="00131A71" w:rsidP="00131A71">
            <w:pPr>
              <w:rPr>
                <w:color w:val="000000"/>
              </w:rPr>
            </w:pPr>
            <w:r w:rsidRPr="00AC3A11">
              <w:rPr>
                <w:color w:val="000000"/>
              </w:rPr>
              <w:t>6.8. No. of intermediaries utilizing Listahanan results for social welfare and development initiatives</w:t>
            </w:r>
          </w:p>
        </w:tc>
        <w:tc>
          <w:tcPr>
            <w:tcW w:w="1543" w:type="dxa"/>
            <w:tcBorders>
              <w:top w:val="single" w:sz="4" w:space="0" w:color="auto"/>
              <w:left w:val="single" w:sz="4" w:space="0" w:color="auto"/>
              <w:bottom w:val="single" w:sz="4" w:space="0" w:color="auto"/>
              <w:right w:val="single" w:sz="4" w:space="0" w:color="auto"/>
            </w:tcBorders>
          </w:tcPr>
          <w:p w14:paraId="4D771E33" w14:textId="77777777" w:rsidR="00131A71" w:rsidRDefault="006071BB" w:rsidP="00131A71">
            <w:pPr>
              <w:pStyle w:val="NoSpacing"/>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CE7A18" w14:textId="77777777" w:rsidR="00131A71" w:rsidRDefault="006071BB" w:rsidP="00131A71">
            <w:pPr>
              <w:jc w:val="center"/>
              <w:rPr>
                <w:color w:val="000000"/>
              </w:rPr>
            </w:pPr>
            <w:r>
              <w:rPr>
                <w:color w:val="000000"/>
              </w:rPr>
              <w:t>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52ED651" w14:textId="77777777" w:rsidR="00131A71" w:rsidRDefault="006071BB" w:rsidP="00131A71">
            <w:r>
              <w:t>0</w:t>
            </w:r>
          </w:p>
        </w:tc>
        <w:tc>
          <w:tcPr>
            <w:tcW w:w="1276" w:type="dxa"/>
            <w:tcBorders>
              <w:top w:val="single" w:sz="4" w:space="0" w:color="auto"/>
              <w:left w:val="single" w:sz="4" w:space="0" w:color="auto"/>
              <w:bottom w:val="single" w:sz="4" w:space="0" w:color="auto"/>
              <w:right w:val="single" w:sz="4" w:space="0" w:color="auto"/>
            </w:tcBorders>
          </w:tcPr>
          <w:p w14:paraId="10E0B4F9" w14:textId="77777777" w:rsidR="00131A71" w:rsidRDefault="006071BB" w:rsidP="00131A71">
            <w:r>
              <w:t xml:space="preserve">Full Target Achieved </w:t>
            </w:r>
          </w:p>
        </w:tc>
        <w:tc>
          <w:tcPr>
            <w:tcW w:w="1984" w:type="dxa"/>
            <w:tcBorders>
              <w:top w:val="single" w:sz="4" w:space="0" w:color="auto"/>
              <w:left w:val="single" w:sz="4" w:space="0" w:color="auto"/>
              <w:bottom w:val="single" w:sz="4" w:space="0" w:color="auto"/>
            </w:tcBorders>
          </w:tcPr>
          <w:p w14:paraId="178B7C3E" w14:textId="77777777" w:rsidR="00131A71" w:rsidRPr="00622FF3" w:rsidRDefault="00131A71" w:rsidP="00131A71">
            <w:pPr>
              <w:pStyle w:val="NoSpacing"/>
            </w:pPr>
          </w:p>
        </w:tc>
      </w:tr>
      <w:tr w:rsidR="006071BB" w:rsidRPr="00B64A59" w14:paraId="39D7188F"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30DFB2E6" w14:textId="77777777" w:rsidR="006071BB" w:rsidRPr="00AC3A11" w:rsidRDefault="006071BB" w:rsidP="006071BB">
            <w:pPr>
              <w:rPr>
                <w:i/>
                <w:iCs/>
                <w:color w:val="000000"/>
              </w:rPr>
            </w:pPr>
            <w:r w:rsidRPr="00AC3A11">
              <w:rPr>
                <w:i/>
                <w:iCs/>
                <w:color w:val="000000"/>
              </w:rPr>
              <w:t>a. No.of request for statistical data granted</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10DEE239" w14:textId="77777777" w:rsidR="006071BB" w:rsidRPr="00AC3A11" w:rsidRDefault="006071BB" w:rsidP="006071BB">
            <w:pPr>
              <w:jc w:val="center"/>
              <w:rPr>
                <w:color w:val="000000"/>
              </w:rPr>
            </w:pPr>
            <w:r>
              <w:rPr>
                <w:color w:val="000000"/>
              </w:rPr>
              <w:t>ANA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994ED1" w14:textId="77777777" w:rsidR="006071BB" w:rsidRPr="00AC3A11" w:rsidRDefault="006071BB" w:rsidP="006071BB">
            <w:pPr>
              <w:jc w:val="center"/>
              <w:rPr>
                <w:color w:val="000000"/>
              </w:rPr>
            </w:pPr>
            <w:r>
              <w:rPr>
                <w:color w:val="000000"/>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17184EA" w14:textId="77777777" w:rsidR="006071BB" w:rsidRPr="00AC3A11" w:rsidRDefault="006071BB" w:rsidP="006071BB">
            <w:pPr>
              <w:jc w:val="center"/>
            </w:pPr>
            <w:r>
              <w:t>0</w:t>
            </w:r>
          </w:p>
        </w:tc>
        <w:tc>
          <w:tcPr>
            <w:tcW w:w="1276" w:type="dxa"/>
            <w:tcBorders>
              <w:top w:val="single" w:sz="4" w:space="0" w:color="auto"/>
              <w:left w:val="single" w:sz="4" w:space="0" w:color="auto"/>
              <w:bottom w:val="single" w:sz="4" w:space="0" w:color="auto"/>
              <w:right w:val="single" w:sz="4" w:space="0" w:color="auto"/>
            </w:tcBorders>
          </w:tcPr>
          <w:p w14:paraId="7B04C871" w14:textId="77777777" w:rsidR="006071BB" w:rsidRDefault="006071BB" w:rsidP="006071BB">
            <w:r w:rsidRPr="004449FC">
              <w:t xml:space="preserve">Full Target Achieved </w:t>
            </w:r>
          </w:p>
        </w:tc>
        <w:tc>
          <w:tcPr>
            <w:tcW w:w="1984" w:type="dxa"/>
            <w:tcBorders>
              <w:top w:val="single" w:sz="4" w:space="0" w:color="auto"/>
              <w:left w:val="single" w:sz="4" w:space="0" w:color="auto"/>
              <w:bottom w:val="single" w:sz="4" w:space="0" w:color="auto"/>
            </w:tcBorders>
          </w:tcPr>
          <w:p w14:paraId="018A832D" w14:textId="77777777" w:rsidR="006071BB" w:rsidRPr="00622FF3" w:rsidRDefault="006071BB" w:rsidP="006071BB">
            <w:pPr>
              <w:pStyle w:val="NoSpacing"/>
            </w:pPr>
          </w:p>
        </w:tc>
      </w:tr>
      <w:tr w:rsidR="006071BB" w:rsidRPr="00B64A59" w14:paraId="00C6E5B8" w14:textId="77777777" w:rsidTr="00023229">
        <w:trPr>
          <w:trHeight w:val="189"/>
        </w:trPr>
        <w:tc>
          <w:tcPr>
            <w:tcW w:w="2280" w:type="dxa"/>
            <w:tcBorders>
              <w:top w:val="single" w:sz="4" w:space="0" w:color="auto"/>
              <w:left w:val="single" w:sz="4" w:space="0" w:color="000000"/>
              <w:bottom w:val="single" w:sz="4" w:space="0" w:color="000000"/>
              <w:right w:val="single" w:sz="4" w:space="0" w:color="000000"/>
            </w:tcBorders>
            <w:shd w:val="clear" w:color="auto" w:fill="auto"/>
          </w:tcPr>
          <w:p w14:paraId="0BD5FD2C" w14:textId="77777777" w:rsidR="006071BB" w:rsidRPr="00AC3A11" w:rsidRDefault="006071BB" w:rsidP="006071BB">
            <w:pPr>
              <w:rPr>
                <w:i/>
                <w:iCs/>
                <w:color w:val="000000"/>
              </w:rPr>
            </w:pPr>
            <w:r w:rsidRPr="00AC3A11">
              <w:rPr>
                <w:i/>
                <w:iCs/>
                <w:color w:val="000000"/>
              </w:rPr>
              <w:t>b. No. of request for name-matching granted</w:t>
            </w:r>
          </w:p>
        </w:tc>
        <w:tc>
          <w:tcPr>
            <w:tcW w:w="1543"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2B5E2A0C" w14:textId="77777777" w:rsidR="006071BB" w:rsidRPr="00AC3A11" w:rsidRDefault="006071BB" w:rsidP="006071BB">
            <w:pPr>
              <w:jc w:val="center"/>
              <w:rPr>
                <w:color w:val="000000"/>
              </w:rPr>
            </w:pPr>
            <w:r>
              <w:rPr>
                <w:color w:val="000000"/>
              </w:rPr>
              <w:t>ANA</w:t>
            </w:r>
          </w:p>
        </w:tc>
        <w:tc>
          <w:tcPr>
            <w:tcW w:w="155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67FD684" w14:textId="77777777" w:rsidR="006071BB" w:rsidRPr="00AC3A11" w:rsidRDefault="006071BB" w:rsidP="006071BB">
            <w:pPr>
              <w:jc w:val="center"/>
              <w:rPr>
                <w:color w:val="000000"/>
              </w:rPr>
            </w:pPr>
            <w:r>
              <w:rPr>
                <w:color w:val="000000"/>
              </w:rPr>
              <w:t>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1555CB9" w14:textId="77777777" w:rsidR="006071BB" w:rsidRPr="00AC3A11" w:rsidRDefault="006071BB" w:rsidP="006071BB">
            <w:pPr>
              <w:jc w:val="center"/>
            </w:pPr>
            <w:r>
              <w:t>0</w:t>
            </w:r>
          </w:p>
        </w:tc>
        <w:tc>
          <w:tcPr>
            <w:tcW w:w="1276" w:type="dxa"/>
            <w:tcBorders>
              <w:top w:val="single" w:sz="4" w:space="0" w:color="auto"/>
              <w:left w:val="single" w:sz="4" w:space="0" w:color="auto"/>
              <w:bottom w:val="single" w:sz="4" w:space="0" w:color="auto"/>
              <w:right w:val="single" w:sz="4" w:space="0" w:color="auto"/>
            </w:tcBorders>
          </w:tcPr>
          <w:p w14:paraId="42D2E5B8" w14:textId="77777777" w:rsidR="006071BB" w:rsidRDefault="006071BB" w:rsidP="006071BB">
            <w:r w:rsidRPr="004449FC">
              <w:t xml:space="preserve">Full Target Achieved </w:t>
            </w:r>
          </w:p>
        </w:tc>
        <w:tc>
          <w:tcPr>
            <w:tcW w:w="1984" w:type="dxa"/>
            <w:tcBorders>
              <w:top w:val="single" w:sz="4" w:space="0" w:color="auto"/>
              <w:left w:val="single" w:sz="4" w:space="0" w:color="auto"/>
              <w:bottom w:val="single" w:sz="4" w:space="0" w:color="auto"/>
            </w:tcBorders>
          </w:tcPr>
          <w:p w14:paraId="2FC3ACBF" w14:textId="77777777" w:rsidR="006071BB" w:rsidRPr="00622FF3" w:rsidRDefault="006071BB" w:rsidP="006071BB">
            <w:pPr>
              <w:pStyle w:val="NoSpacing"/>
            </w:pPr>
          </w:p>
        </w:tc>
      </w:tr>
      <w:tr w:rsidR="006071BB" w:rsidRPr="00B64A59" w14:paraId="69A97F6D"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auto"/>
          </w:tcPr>
          <w:p w14:paraId="69677E83" w14:textId="77777777" w:rsidR="006071BB" w:rsidRPr="00AC3A11" w:rsidRDefault="006071BB" w:rsidP="006071BB">
            <w:pPr>
              <w:rPr>
                <w:color w:val="000000"/>
              </w:rPr>
            </w:pPr>
            <w:r w:rsidRPr="00AC3A11">
              <w:rPr>
                <w:color w:val="000000"/>
              </w:rPr>
              <w:t>6.9. No. of households assessed to determine poverty status</w:t>
            </w:r>
          </w:p>
        </w:tc>
        <w:tc>
          <w:tcPr>
            <w:tcW w:w="1543" w:type="dxa"/>
            <w:tcBorders>
              <w:top w:val="nil"/>
              <w:left w:val="single" w:sz="4" w:space="0" w:color="000000"/>
              <w:bottom w:val="single" w:sz="4" w:space="0" w:color="auto"/>
              <w:right w:val="single" w:sz="4" w:space="0" w:color="000000"/>
            </w:tcBorders>
            <w:shd w:val="clear" w:color="auto" w:fill="FFFFFF" w:themeFill="background1"/>
          </w:tcPr>
          <w:p w14:paraId="426D4A0C" w14:textId="77777777" w:rsidR="006071BB" w:rsidRPr="00AC3A11" w:rsidRDefault="006071BB" w:rsidP="006071BB">
            <w:pPr>
              <w:jc w:val="center"/>
              <w:rPr>
                <w:color w:val="000000"/>
              </w:rPr>
            </w:pPr>
            <w:r>
              <w:rPr>
                <w:color w:val="000000"/>
              </w:rPr>
              <w:t>N/A</w:t>
            </w:r>
          </w:p>
        </w:tc>
        <w:tc>
          <w:tcPr>
            <w:tcW w:w="1559" w:type="dxa"/>
            <w:tcBorders>
              <w:top w:val="nil"/>
              <w:left w:val="single" w:sz="4" w:space="0" w:color="000000"/>
              <w:bottom w:val="single" w:sz="4" w:space="0" w:color="auto"/>
              <w:right w:val="single" w:sz="4" w:space="0" w:color="000000"/>
            </w:tcBorders>
            <w:shd w:val="clear" w:color="auto" w:fill="FFFFFF" w:themeFill="background1"/>
          </w:tcPr>
          <w:p w14:paraId="75BE8739" w14:textId="77777777" w:rsidR="006071BB" w:rsidRPr="00AC3A11" w:rsidRDefault="006071BB" w:rsidP="006071BB">
            <w:pPr>
              <w:jc w:val="center"/>
              <w:rPr>
                <w:color w:val="000000"/>
              </w:rPr>
            </w:pPr>
            <w:r>
              <w:rPr>
                <w:color w:val="000000"/>
              </w:rPr>
              <w:t>N/A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9567FE2" w14:textId="77777777" w:rsidR="006071BB" w:rsidRPr="00AC3A11" w:rsidRDefault="006071BB" w:rsidP="006071BB">
            <w:pPr>
              <w:jc w:val="center"/>
            </w:pPr>
          </w:p>
        </w:tc>
        <w:tc>
          <w:tcPr>
            <w:tcW w:w="1276" w:type="dxa"/>
            <w:tcBorders>
              <w:top w:val="single" w:sz="4" w:space="0" w:color="auto"/>
              <w:left w:val="single" w:sz="4" w:space="0" w:color="auto"/>
              <w:bottom w:val="single" w:sz="4" w:space="0" w:color="auto"/>
              <w:right w:val="single" w:sz="4" w:space="0" w:color="auto"/>
            </w:tcBorders>
          </w:tcPr>
          <w:p w14:paraId="7674C369" w14:textId="77777777" w:rsidR="006071BB" w:rsidRPr="00AC3A11" w:rsidRDefault="006071BB" w:rsidP="006071BB"/>
        </w:tc>
        <w:tc>
          <w:tcPr>
            <w:tcW w:w="1984" w:type="dxa"/>
            <w:tcBorders>
              <w:top w:val="single" w:sz="4" w:space="0" w:color="auto"/>
              <w:left w:val="single" w:sz="4" w:space="0" w:color="auto"/>
              <w:bottom w:val="single" w:sz="4" w:space="0" w:color="auto"/>
            </w:tcBorders>
          </w:tcPr>
          <w:p w14:paraId="787989D4" w14:textId="77777777" w:rsidR="006071BB" w:rsidRPr="00622FF3" w:rsidRDefault="006071BB" w:rsidP="006071BB">
            <w:pPr>
              <w:pStyle w:val="NoSpacing"/>
            </w:pPr>
          </w:p>
        </w:tc>
      </w:tr>
      <w:tr w:rsidR="006071BB" w:rsidRPr="00B64A59" w14:paraId="2CC3473B"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268A6AB7" w14:textId="77777777" w:rsidR="006071BB" w:rsidRPr="00AC3A11" w:rsidRDefault="006071BB" w:rsidP="006071BB">
            <w:pPr>
              <w:rPr>
                <w:color w:val="000000"/>
              </w:rPr>
            </w:pPr>
            <w:r w:rsidRPr="00AC3A11">
              <w:rPr>
                <w:color w:val="000000"/>
              </w:rPr>
              <w:t>6.10. No. of barangays with functional Barangay Verification Team (BVT)</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272CBA76" w14:textId="77777777" w:rsidR="006071BB" w:rsidRDefault="006071BB" w:rsidP="006071BB">
            <w:pPr>
              <w:jc w:val="center"/>
            </w:pPr>
            <w:r w:rsidRPr="0051596F">
              <w:rPr>
                <w:color w:val="000000"/>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9F9FB62" w14:textId="77777777" w:rsidR="006071BB" w:rsidRDefault="006071BB" w:rsidP="006071BB">
            <w:pPr>
              <w:jc w:val="center"/>
            </w:pPr>
            <w:r w:rsidRPr="0051596F">
              <w:rPr>
                <w:color w:val="000000"/>
              </w:rPr>
              <w:t>N/A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62DD97D" w14:textId="77777777" w:rsidR="006071BB" w:rsidRPr="00AC3A11" w:rsidRDefault="006071BB" w:rsidP="006071BB">
            <w:pPr>
              <w:jc w:val="center"/>
            </w:pPr>
          </w:p>
        </w:tc>
        <w:tc>
          <w:tcPr>
            <w:tcW w:w="1276" w:type="dxa"/>
            <w:tcBorders>
              <w:top w:val="single" w:sz="4" w:space="0" w:color="auto"/>
              <w:left w:val="single" w:sz="4" w:space="0" w:color="auto"/>
              <w:bottom w:val="single" w:sz="4" w:space="0" w:color="auto"/>
              <w:right w:val="single" w:sz="4" w:space="0" w:color="auto"/>
            </w:tcBorders>
          </w:tcPr>
          <w:p w14:paraId="27FD3FB1" w14:textId="77777777" w:rsidR="006071BB" w:rsidRPr="00AC3A11" w:rsidRDefault="006071BB" w:rsidP="006071BB"/>
        </w:tc>
        <w:tc>
          <w:tcPr>
            <w:tcW w:w="1984" w:type="dxa"/>
            <w:tcBorders>
              <w:top w:val="single" w:sz="4" w:space="0" w:color="auto"/>
              <w:left w:val="single" w:sz="4" w:space="0" w:color="auto"/>
              <w:bottom w:val="single" w:sz="4" w:space="0" w:color="auto"/>
            </w:tcBorders>
          </w:tcPr>
          <w:p w14:paraId="39813461" w14:textId="77777777" w:rsidR="006071BB" w:rsidRPr="00622FF3" w:rsidRDefault="006071BB" w:rsidP="006071BB">
            <w:pPr>
              <w:pStyle w:val="NoSpacing"/>
            </w:pPr>
          </w:p>
        </w:tc>
      </w:tr>
      <w:tr w:rsidR="006071BB" w:rsidRPr="00B64A59" w14:paraId="239C284D"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5A905BAD" w14:textId="77777777" w:rsidR="006071BB" w:rsidRPr="00AC3A11" w:rsidRDefault="006071BB" w:rsidP="006071BB">
            <w:pPr>
              <w:rPr>
                <w:color w:val="000000"/>
              </w:rPr>
            </w:pPr>
            <w:r w:rsidRPr="00AC3A11">
              <w:rPr>
                <w:color w:val="000000"/>
              </w:rPr>
              <w:t>6.11. No. of cities/municipalities with functional Local Verification Committee (LVC)</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6F19F35B" w14:textId="77777777" w:rsidR="006071BB" w:rsidRDefault="006071BB" w:rsidP="006071BB">
            <w:pPr>
              <w:jc w:val="center"/>
            </w:pPr>
            <w:r w:rsidRPr="0051596F">
              <w:rPr>
                <w:color w:val="000000"/>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99DF65" w14:textId="77777777" w:rsidR="006071BB" w:rsidRDefault="006071BB" w:rsidP="006071BB">
            <w:pPr>
              <w:jc w:val="center"/>
            </w:pPr>
            <w:r w:rsidRPr="0051596F">
              <w:rPr>
                <w:color w:val="000000"/>
              </w:rPr>
              <w:t>N/A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71C10EB" w14:textId="77777777" w:rsidR="006071BB" w:rsidRPr="00AC3A11" w:rsidRDefault="006071BB" w:rsidP="006071BB">
            <w:pPr>
              <w:jc w:val="center"/>
            </w:pPr>
          </w:p>
        </w:tc>
        <w:tc>
          <w:tcPr>
            <w:tcW w:w="1276" w:type="dxa"/>
            <w:tcBorders>
              <w:top w:val="single" w:sz="4" w:space="0" w:color="auto"/>
              <w:left w:val="single" w:sz="4" w:space="0" w:color="auto"/>
              <w:bottom w:val="single" w:sz="4" w:space="0" w:color="auto"/>
              <w:right w:val="single" w:sz="4" w:space="0" w:color="auto"/>
            </w:tcBorders>
          </w:tcPr>
          <w:p w14:paraId="2AC1B813" w14:textId="77777777" w:rsidR="006071BB" w:rsidRPr="00AC3A11" w:rsidRDefault="006071BB" w:rsidP="006071BB"/>
        </w:tc>
        <w:tc>
          <w:tcPr>
            <w:tcW w:w="1984" w:type="dxa"/>
            <w:tcBorders>
              <w:top w:val="single" w:sz="4" w:space="0" w:color="auto"/>
              <w:left w:val="single" w:sz="4" w:space="0" w:color="auto"/>
              <w:bottom w:val="single" w:sz="4" w:space="0" w:color="auto"/>
            </w:tcBorders>
          </w:tcPr>
          <w:p w14:paraId="64BF8D49" w14:textId="77777777" w:rsidR="006071BB" w:rsidRPr="00622FF3" w:rsidRDefault="006071BB" w:rsidP="006071BB">
            <w:pPr>
              <w:pStyle w:val="NoSpacing"/>
            </w:pPr>
          </w:p>
        </w:tc>
      </w:tr>
      <w:tr w:rsidR="006071BB" w:rsidRPr="00B64A59" w14:paraId="61F8BAFD" w14:textId="77777777" w:rsidTr="00023229">
        <w:trPr>
          <w:trHeight w:val="189"/>
        </w:trPr>
        <w:tc>
          <w:tcPr>
            <w:tcW w:w="2280" w:type="dxa"/>
            <w:tcBorders>
              <w:top w:val="single" w:sz="4" w:space="0" w:color="auto"/>
              <w:left w:val="single" w:sz="4" w:space="0" w:color="000000"/>
              <w:bottom w:val="single" w:sz="4" w:space="0" w:color="auto"/>
              <w:right w:val="single" w:sz="4" w:space="0" w:color="000000"/>
            </w:tcBorders>
            <w:shd w:val="clear" w:color="auto" w:fill="auto"/>
          </w:tcPr>
          <w:p w14:paraId="38C2D256" w14:textId="77777777" w:rsidR="006071BB" w:rsidRPr="00AC3A11" w:rsidRDefault="006071BB" w:rsidP="006071BB">
            <w:pPr>
              <w:rPr>
                <w:color w:val="000000"/>
              </w:rPr>
            </w:pPr>
            <w:r w:rsidRPr="00AC3A11">
              <w:rPr>
                <w:color w:val="000000"/>
              </w:rPr>
              <w:t>6.12. Percentage of grievances received during validation phase</w:t>
            </w:r>
            <w:r>
              <w:rPr>
                <w:color w:val="000000"/>
              </w:rPr>
              <w:t>-</w:t>
            </w:r>
            <w:r w:rsidRPr="00AC3A11">
              <w:rPr>
                <w:color w:val="000000"/>
              </w:rPr>
              <w:t>resolved</w:t>
            </w:r>
          </w:p>
        </w:tc>
        <w:tc>
          <w:tcPr>
            <w:tcW w:w="154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50C0835" w14:textId="77777777" w:rsidR="006071BB" w:rsidRDefault="006071BB" w:rsidP="006071BB">
            <w:pPr>
              <w:jc w:val="center"/>
            </w:pPr>
            <w:r w:rsidRPr="0051596F">
              <w:rPr>
                <w:color w:val="000000"/>
              </w:rPr>
              <w:t>N/A</w:t>
            </w:r>
          </w:p>
        </w:tc>
        <w:tc>
          <w:tcPr>
            <w:tcW w:w="155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9A3A05C" w14:textId="77777777" w:rsidR="006071BB" w:rsidRDefault="006071BB" w:rsidP="006071BB">
            <w:pPr>
              <w:jc w:val="center"/>
            </w:pPr>
            <w:r w:rsidRPr="0051596F">
              <w:rPr>
                <w:color w:val="000000"/>
              </w:rPr>
              <w:t>N/A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54BD1B8" w14:textId="77777777" w:rsidR="006071BB" w:rsidRPr="00AC3A11" w:rsidRDefault="006071BB" w:rsidP="006071BB">
            <w:pPr>
              <w:jc w:val="center"/>
            </w:pPr>
          </w:p>
        </w:tc>
        <w:tc>
          <w:tcPr>
            <w:tcW w:w="1276" w:type="dxa"/>
            <w:tcBorders>
              <w:top w:val="single" w:sz="4" w:space="0" w:color="auto"/>
              <w:left w:val="single" w:sz="4" w:space="0" w:color="auto"/>
              <w:bottom w:val="single" w:sz="4" w:space="0" w:color="auto"/>
              <w:right w:val="single" w:sz="4" w:space="0" w:color="auto"/>
            </w:tcBorders>
          </w:tcPr>
          <w:p w14:paraId="78B97A0C" w14:textId="77777777" w:rsidR="006071BB" w:rsidRPr="00AC3A11" w:rsidRDefault="006071BB" w:rsidP="006071BB"/>
        </w:tc>
        <w:tc>
          <w:tcPr>
            <w:tcW w:w="1984" w:type="dxa"/>
            <w:tcBorders>
              <w:top w:val="single" w:sz="4" w:space="0" w:color="auto"/>
              <w:left w:val="single" w:sz="4" w:space="0" w:color="auto"/>
              <w:bottom w:val="single" w:sz="4" w:space="0" w:color="auto"/>
            </w:tcBorders>
          </w:tcPr>
          <w:p w14:paraId="7E8C2873" w14:textId="77777777" w:rsidR="006071BB" w:rsidRPr="00622FF3" w:rsidRDefault="006071BB" w:rsidP="006071BB">
            <w:pPr>
              <w:pStyle w:val="NoSpacing"/>
            </w:pPr>
          </w:p>
        </w:tc>
      </w:tr>
      <w:tr w:rsidR="006071BB" w:rsidRPr="00B64A59" w14:paraId="240E6761"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1E2A5574" w14:textId="77777777" w:rsidR="006071BB" w:rsidRPr="00AC3A11" w:rsidRDefault="006071BB" w:rsidP="006071BB">
            <w:pPr>
              <w:rPr>
                <w:color w:val="000000"/>
              </w:rPr>
            </w:pPr>
            <w:r w:rsidRPr="00AC3A11">
              <w:rPr>
                <w:color w:val="000000"/>
              </w:rPr>
              <w:t>6.13. Results of the Listahanan 3 assessment launched</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591CF8F0" w14:textId="77777777" w:rsidR="006071BB" w:rsidRPr="00AC3A11" w:rsidRDefault="006071BB" w:rsidP="006071BB">
            <w:pPr>
              <w:jc w:val="center"/>
              <w:rPr>
                <w:color w:val="000000"/>
              </w:rPr>
            </w:pPr>
            <w:r>
              <w:rPr>
                <w:color w:val="000000"/>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786F910" w14:textId="77777777" w:rsidR="006071BB" w:rsidRPr="00AC3A11" w:rsidRDefault="006071BB" w:rsidP="006071BB">
            <w:pPr>
              <w:jc w:val="center"/>
              <w:rPr>
                <w:color w:val="000000"/>
              </w:rPr>
            </w:pPr>
            <w:r>
              <w:rPr>
                <w:color w:val="000000"/>
              </w:rPr>
              <w:t>N/A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00DA78B" w14:textId="77777777" w:rsidR="006071BB" w:rsidRPr="00AC3A11" w:rsidRDefault="006071BB" w:rsidP="006071BB">
            <w:pPr>
              <w:jc w:val="center"/>
            </w:pPr>
          </w:p>
        </w:tc>
        <w:tc>
          <w:tcPr>
            <w:tcW w:w="1276" w:type="dxa"/>
            <w:tcBorders>
              <w:top w:val="single" w:sz="4" w:space="0" w:color="auto"/>
              <w:left w:val="single" w:sz="4" w:space="0" w:color="auto"/>
              <w:bottom w:val="single" w:sz="4" w:space="0" w:color="auto"/>
              <w:right w:val="single" w:sz="4" w:space="0" w:color="auto"/>
            </w:tcBorders>
          </w:tcPr>
          <w:p w14:paraId="46E132F9" w14:textId="77777777" w:rsidR="006071BB" w:rsidRPr="00AC3A11" w:rsidRDefault="006071BB" w:rsidP="006071BB"/>
        </w:tc>
        <w:tc>
          <w:tcPr>
            <w:tcW w:w="1984" w:type="dxa"/>
            <w:tcBorders>
              <w:top w:val="single" w:sz="4" w:space="0" w:color="auto"/>
              <w:left w:val="single" w:sz="4" w:space="0" w:color="auto"/>
              <w:bottom w:val="single" w:sz="4" w:space="0" w:color="auto"/>
            </w:tcBorders>
          </w:tcPr>
          <w:p w14:paraId="486D4C21" w14:textId="77777777" w:rsidR="006071BB" w:rsidRPr="00622FF3" w:rsidRDefault="006071BB" w:rsidP="006071BB">
            <w:pPr>
              <w:pStyle w:val="NoSpacing"/>
            </w:pPr>
          </w:p>
        </w:tc>
      </w:tr>
      <w:tr w:rsidR="006071BB" w:rsidRPr="00B64A59" w14:paraId="5CCB1042"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57A0C276" w14:textId="77777777" w:rsidR="006071BB" w:rsidRPr="00AC3A11" w:rsidRDefault="006071BB" w:rsidP="006071BB">
            <w:pPr>
              <w:rPr>
                <w:color w:val="000000"/>
              </w:rPr>
            </w:pPr>
            <w:r w:rsidRPr="00AC3A11">
              <w:rPr>
                <w:color w:val="000000"/>
              </w:rPr>
              <w:t>6.14. Regional profile of the poor developed</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511AFC" w14:textId="77777777" w:rsidR="006071BB" w:rsidRPr="00AC3A11" w:rsidRDefault="006071BB" w:rsidP="006071BB">
            <w:pPr>
              <w:jc w:val="center"/>
              <w:rPr>
                <w:color w:val="000000"/>
              </w:rPr>
            </w:pPr>
            <w:r>
              <w:rPr>
                <w:color w:val="000000"/>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B850186" w14:textId="77777777" w:rsidR="006071BB" w:rsidRPr="00AC3A11" w:rsidRDefault="006071BB" w:rsidP="006071BB">
            <w:pPr>
              <w:jc w:val="center"/>
              <w:rPr>
                <w:color w:val="000000"/>
              </w:rPr>
            </w:pPr>
            <w:r>
              <w:rPr>
                <w:color w:val="000000"/>
              </w:rPr>
              <w:t>N/A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898528F" w14:textId="77777777" w:rsidR="006071BB" w:rsidRPr="00AC3A11" w:rsidRDefault="006071BB" w:rsidP="006071BB">
            <w:pPr>
              <w:jc w:val="center"/>
            </w:pPr>
          </w:p>
        </w:tc>
        <w:tc>
          <w:tcPr>
            <w:tcW w:w="1276" w:type="dxa"/>
            <w:tcBorders>
              <w:top w:val="single" w:sz="4" w:space="0" w:color="auto"/>
              <w:left w:val="single" w:sz="4" w:space="0" w:color="auto"/>
              <w:bottom w:val="single" w:sz="4" w:space="0" w:color="auto"/>
              <w:right w:val="single" w:sz="4" w:space="0" w:color="auto"/>
            </w:tcBorders>
          </w:tcPr>
          <w:p w14:paraId="06A432D6" w14:textId="77777777" w:rsidR="006071BB" w:rsidRPr="00AC3A11" w:rsidRDefault="006071BB" w:rsidP="006071BB"/>
        </w:tc>
        <w:tc>
          <w:tcPr>
            <w:tcW w:w="1984" w:type="dxa"/>
            <w:tcBorders>
              <w:top w:val="single" w:sz="4" w:space="0" w:color="auto"/>
              <w:left w:val="single" w:sz="4" w:space="0" w:color="auto"/>
              <w:bottom w:val="single" w:sz="4" w:space="0" w:color="auto"/>
            </w:tcBorders>
          </w:tcPr>
          <w:p w14:paraId="643EEB05" w14:textId="77777777" w:rsidR="006071BB" w:rsidRPr="00622FF3" w:rsidRDefault="006071BB" w:rsidP="006071BB">
            <w:pPr>
              <w:pStyle w:val="NoSpacing"/>
            </w:pPr>
          </w:p>
        </w:tc>
      </w:tr>
      <w:tr w:rsidR="006071BB" w:rsidRPr="00B64A59" w14:paraId="08C21C58" w14:textId="77777777" w:rsidTr="00023229">
        <w:trPr>
          <w:trHeight w:val="189"/>
        </w:trPr>
        <w:tc>
          <w:tcPr>
            <w:tcW w:w="10201" w:type="dxa"/>
            <w:gridSpan w:val="7"/>
            <w:tcBorders>
              <w:top w:val="single" w:sz="4" w:space="0" w:color="000000"/>
              <w:left w:val="single" w:sz="4" w:space="0" w:color="000000"/>
              <w:bottom w:val="single" w:sz="4" w:space="0" w:color="000000"/>
            </w:tcBorders>
            <w:shd w:val="clear" w:color="auto" w:fill="DEEAF6" w:themeFill="accent1" w:themeFillTint="33"/>
          </w:tcPr>
          <w:p w14:paraId="753B8DF6" w14:textId="77777777" w:rsidR="006071BB" w:rsidRPr="00AC3A11" w:rsidRDefault="006071BB" w:rsidP="006071BB">
            <w:pPr>
              <w:pStyle w:val="NoSpacing"/>
              <w:rPr>
                <w:b/>
              </w:rPr>
            </w:pPr>
            <w:r w:rsidRPr="00AC3A11">
              <w:rPr>
                <w:b/>
                <w:color w:val="000000"/>
              </w:rPr>
              <w:t>Information and Communications Technology Management</w:t>
            </w:r>
          </w:p>
        </w:tc>
      </w:tr>
      <w:tr w:rsidR="006071BB" w:rsidRPr="00B64A59" w14:paraId="358A1876"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C606C1" w14:textId="77777777" w:rsidR="006071BB" w:rsidRPr="00AC3A11" w:rsidRDefault="006071BB" w:rsidP="006071BB">
            <w:pPr>
              <w:rPr>
                <w:bCs/>
                <w:color w:val="000000"/>
              </w:rPr>
            </w:pPr>
            <w:r w:rsidRPr="00AC3A11">
              <w:rPr>
                <w:bCs/>
                <w:color w:val="000000"/>
              </w:rPr>
              <w:t xml:space="preserve">6.15. DSWD Enterprise Network </w:t>
            </w:r>
            <w:r w:rsidRPr="00AC3A11">
              <w:rPr>
                <w:bCs/>
                <w:color w:val="000000"/>
              </w:rPr>
              <w:lastRenderedPageBreak/>
              <w:t>with Uptime of 95 percent for FO</w:t>
            </w:r>
          </w:p>
        </w:tc>
        <w:tc>
          <w:tcPr>
            <w:tcW w:w="1543" w:type="dxa"/>
            <w:tcBorders>
              <w:top w:val="single" w:sz="4" w:space="0" w:color="auto"/>
              <w:left w:val="single" w:sz="4" w:space="0" w:color="auto"/>
              <w:bottom w:val="single" w:sz="4" w:space="0" w:color="auto"/>
              <w:right w:val="single" w:sz="4" w:space="0" w:color="auto"/>
            </w:tcBorders>
          </w:tcPr>
          <w:p w14:paraId="5CFDE916" w14:textId="77777777" w:rsidR="006071BB" w:rsidRPr="00AC3A11" w:rsidRDefault="006071BB" w:rsidP="006071BB">
            <w:pPr>
              <w:pStyle w:val="NoSpacing"/>
              <w:jc w:val="center"/>
            </w:pPr>
            <w:r>
              <w:lastRenderedPageBreak/>
              <w:t>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E3DC11" w14:textId="77777777" w:rsidR="006071BB" w:rsidRPr="00AC3A11" w:rsidRDefault="006071BB" w:rsidP="006071BB">
            <w:pPr>
              <w:pStyle w:val="NoSpacing"/>
              <w:jc w:val="center"/>
            </w:pPr>
            <w:r>
              <w:t>95%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77E414F" w14:textId="77777777" w:rsidR="006071BB" w:rsidRPr="00AC3A11" w:rsidRDefault="006071BB" w:rsidP="006071BB">
            <w:r>
              <w:t>0</w:t>
            </w:r>
          </w:p>
        </w:tc>
        <w:tc>
          <w:tcPr>
            <w:tcW w:w="1276" w:type="dxa"/>
            <w:tcBorders>
              <w:top w:val="single" w:sz="4" w:space="0" w:color="auto"/>
              <w:left w:val="single" w:sz="4" w:space="0" w:color="auto"/>
              <w:bottom w:val="single" w:sz="4" w:space="0" w:color="auto"/>
              <w:right w:val="single" w:sz="4" w:space="0" w:color="auto"/>
            </w:tcBorders>
          </w:tcPr>
          <w:p w14:paraId="319C31F7" w14:textId="77777777" w:rsidR="006071BB" w:rsidRPr="00AC3A11" w:rsidRDefault="006071BB" w:rsidP="006071BB">
            <w:r>
              <w:t>Full Target Achieved</w:t>
            </w:r>
          </w:p>
        </w:tc>
        <w:tc>
          <w:tcPr>
            <w:tcW w:w="1984" w:type="dxa"/>
            <w:tcBorders>
              <w:top w:val="single" w:sz="4" w:space="0" w:color="auto"/>
              <w:left w:val="single" w:sz="4" w:space="0" w:color="auto"/>
              <w:bottom w:val="single" w:sz="4" w:space="0" w:color="auto"/>
            </w:tcBorders>
          </w:tcPr>
          <w:p w14:paraId="5035A865" w14:textId="77777777" w:rsidR="006071BB" w:rsidRPr="00622FF3" w:rsidRDefault="006071BB" w:rsidP="006071BB">
            <w:pPr>
              <w:pStyle w:val="NoSpacing"/>
            </w:pPr>
          </w:p>
        </w:tc>
      </w:tr>
      <w:tr w:rsidR="006071BB" w:rsidRPr="00B64A59" w14:paraId="5FF2321B"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0DD944AE" w14:textId="77777777" w:rsidR="006071BB" w:rsidRPr="00AC3A11" w:rsidRDefault="006071BB" w:rsidP="006071BB">
            <w:pPr>
              <w:rPr>
                <w:iCs/>
                <w:color w:val="000000"/>
              </w:rPr>
            </w:pPr>
            <w:r w:rsidRPr="00AC3A11">
              <w:rPr>
                <w:iCs/>
                <w:color w:val="000000"/>
              </w:rPr>
              <w:lastRenderedPageBreak/>
              <w:t>6.15.1.Percentage uptime for Field Office - II</w:t>
            </w:r>
          </w:p>
        </w:tc>
        <w:tc>
          <w:tcPr>
            <w:tcW w:w="1543" w:type="dxa"/>
            <w:tcBorders>
              <w:top w:val="single" w:sz="4" w:space="0" w:color="auto"/>
              <w:left w:val="single" w:sz="4" w:space="0" w:color="auto"/>
              <w:bottom w:val="single" w:sz="4" w:space="0" w:color="auto"/>
              <w:right w:val="single" w:sz="4" w:space="0" w:color="auto"/>
            </w:tcBorders>
          </w:tcPr>
          <w:p w14:paraId="632C8A92" w14:textId="77777777" w:rsidR="006071BB" w:rsidRPr="00AC3A11" w:rsidRDefault="006071BB" w:rsidP="006071BB">
            <w:pPr>
              <w:pStyle w:val="NoSpacing"/>
              <w:jc w:val="center"/>
            </w:pPr>
            <w:r>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CCE831" w14:textId="77777777" w:rsidR="006071BB" w:rsidRPr="00AC3A11" w:rsidRDefault="006071BB" w:rsidP="006071BB">
            <w:pPr>
              <w:pStyle w:val="NoSpacing"/>
              <w:jc w:val="center"/>
            </w:pPr>
            <w:r>
              <w:t>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5F481E2" w14:textId="77777777" w:rsidR="006071BB" w:rsidRPr="00AC3A11" w:rsidRDefault="006071BB" w:rsidP="006071BB">
            <w:r>
              <w:t>0</w:t>
            </w:r>
          </w:p>
        </w:tc>
        <w:tc>
          <w:tcPr>
            <w:tcW w:w="1276" w:type="dxa"/>
            <w:tcBorders>
              <w:top w:val="single" w:sz="4" w:space="0" w:color="auto"/>
              <w:left w:val="single" w:sz="4" w:space="0" w:color="auto"/>
              <w:bottom w:val="single" w:sz="4" w:space="0" w:color="auto"/>
              <w:right w:val="single" w:sz="4" w:space="0" w:color="auto"/>
            </w:tcBorders>
          </w:tcPr>
          <w:p w14:paraId="20278C07" w14:textId="77777777" w:rsidR="006071BB" w:rsidRPr="00AC3A11" w:rsidRDefault="006071BB" w:rsidP="006071BB">
            <w:r>
              <w:t xml:space="preserve">Full Target Achieved </w:t>
            </w:r>
          </w:p>
        </w:tc>
        <w:tc>
          <w:tcPr>
            <w:tcW w:w="1984" w:type="dxa"/>
            <w:tcBorders>
              <w:top w:val="single" w:sz="4" w:space="0" w:color="auto"/>
              <w:left w:val="single" w:sz="4" w:space="0" w:color="auto"/>
              <w:bottom w:val="single" w:sz="4" w:space="0" w:color="auto"/>
            </w:tcBorders>
          </w:tcPr>
          <w:p w14:paraId="2833A29D" w14:textId="77777777" w:rsidR="006071BB" w:rsidRPr="00622FF3" w:rsidRDefault="006071BB" w:rsidP="006071BB">
            <w:pPr>
              <w:pStyle w:val="NoSpacing"/>
            </w:pPr>
          </w:p>
        </w:tc>
      </w:tr>
      <w:tr w:rsidR="006071BB" w:rsidRPr="00B64A59" w14:paraId="575CED8F"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6979242D" w14:textId="77777777" w:rsidR="006071BB" w:rsidRPr="00AC3A11" w:rsidRDefault="006071BB" w:rsidP="006071BB">
            <w:pPr>
              <w:rPr>
                <w:color w:val="000000"/>
              </w:rPr>
            </w:pPr>
            <w:r w:rsidRPr="00AC3A11">
              <w:rPr>
                <w:color w:val="000000"/>
              </w:rPr>
              <w:t>6.15.2. Number of DSWD Sub- Regional Sites connected to the DSWD Enterprise Network</w:t>
            </w:r>
          </w:p>
        </w:tc>
        <w:tc>
          <w:tcPr>
            <w:tcW w:w="1543" w:type="dxa"/>
            <w:tcBorders>
              <w:top w:val="single" w:sz="4" w:space="0" w:color="auto"/>
              <w:left w:val="single" w:sz="4" w:space="0" w:color="auto"/>
              <w:bottom w:val="single" w:sz="4" w:space="0" w:color="auto"/>
              <w:right w:val="single" w:sz="4" w:space="0" w:color="auto"/>
            </w:tcBorders>
          </w:tcPr>
          <w:p w14:paraId="676DC18A" w14:textId="77777777" w:rsidR="006071BB" w:rsidRPr="00AC3A11" w:rsidRDefault="006071BB" w:rsidP="006071BB">
            <w:pPr>
              <w:pStyle w:val="NoSpacing"/>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A6BA40" w14:textId="77777777" w:rsidR="006071BB" w:rsidRPr="00AC3A11" w:rsidRDefault="006071BB" w:rsidP="006071BB">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F441167" w14:textId="77777777" w:rsidR="006071BB" w:rsidRPr="00AC3A11" w:rsidRDefault="006071BB" w:rsidP="006071BB">
            <w:pPr>
              <w:jc w:val="center"/>
            </w:pPr>
          </w:p>
        </w:tc>
        <w:tc>
          <w:tcPr>
            <w:tcW w:w="1276" w:type="dxa"/>
            <w:tcBorders>
              <w:top w:val="single" w:sz="4" w:space="0" w:color="auto"/>
              <w:left w:val="single" w:sz="4" w:space="0" w:color="auto"/>
              <w:bottom w:val="single" w:sz="4" w:space="0" w:color="auto"/>
              <w:right w:val="single" w:sz="4" w:space="0" w:color="auto"/>
            </w:tcBorders>
          </w:tcPr>
          <w:p w14:paraId="615C6279" w14:textId="77777777" w:rsidR="006071BB" w:rsidRPr="00AC3A11" w:rsidRDefault="006071BB" w:rsidP="006071BB"/>
        </w:tc>
        <w:tc>
          <w:tcPr>
            <w:tcW w:w="1984" w:type="dxa"/>
            <w:tcBorders>
              <w:top w:val="single" w:sz="4" w:space="0" w:color="auto"/>
              <w:left w:val="single" w:sz="4" w:space="0" w:color="auto"/>
              <w:bottom w:val="single" w:sz="4" w:space="0" w:color="auto"/>
            </w:tcBorders>
          </w:tcPr>
          <w:p w14:paraId="303AB5CB" w14:textId="77777777" w:rsidR="006071BB" w:rsidRPr="00622FF3" w:rsidRDefault="006071BB" w:rsidP="006071BB">
            <w:pPr>
              <w:pStyle w:val="NoSpacing"/>
            </w:pPr>
          </w:p>
        </w:tc>
      </w:tr>
      <w:tr w:rsidR="006071BB" w:rsidRPr="00B64A59" w14:paraId="1C266566"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2312655C" w14:textId="77777777" w:rsidR="006071BB" w:rsidRPr="00AC3A11" w:rsidRDefault="006071BB" w:rsidP="006071BB">
            <w:pPr>
              <w:rPr>
                <w:bCs/>
                <w:color w:val="000000"/>
              </w:rPr>
            </w:pPr>
            <w:r w:rsidRPr="00AC3A11">
              <w:rPr>
                <w:bCs/>
                <w:color w:val="000000"/>
              </w:rPr>
              <w:t>6.16. Percentage/Number of Information Systems developed/enhanced and maintained</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13C74F2B" w14:textId="77777777" w:rsidR="006071BB" w:rsidRPr="00AC3A11" w:rsidRDefault="006071BB" w:rsidP="006071BB">
            <w:pPr>
              <w:jc w:val="center"/>
              <w:rPr>
                <w:i/>
                <w:i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34E8CE" w14:textId="77777777" w:rsidR="006071BB" w:rsidRPr="00AC3A11" w:rsidRDefault="006071BB" w:rsidP="006071BB">
            <w:pPr>
              <w:jc w:val="center"/>
              <w:rPr>
                <w:i/>
                <w:iCs/>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8D40BE9" w14:textId="77777777" w:rsidR="006071BB" w:rsidRPr="00AC3A11" w:rsidRDefault="006071BB" w:rsidP="006071BB"/>
        </w:tc>
        <w:tc>
          <w:tcPr>
            <w:tcW w:w="1276" w:type="dxa"/>
            <w:tcBorders>
              <w:top w:val="single" w:sz="4" w:space="0" w:color="auto"/>
              <w:left w:val="single" w:sz="4" w:space="0" w:color="auto"/>
              <w:bottom w:val="single" w:sz="4" w:space="0" w:color="auto"/>
              <w:right w:val="single" w:sz="4" w:space="0" w:color="auto"/>
            </w:tcBorders>
          </w:tcPr>
          <w:p w14:paraId="29D9EB1F" w14:textId="77777777" w:rsidR="006071BB" w:rsidRPr="00AC3A11" w:rsidRDefault="006071BB" w:rsidP="006071BB"/>
        </w:tc>
        <w:tc>
          <w:tcPr>
            <w:tcW w:w="1984" w:type="dxa"/>
            <w:tcBorders>
              <w:top w:val="single" w:sz="4" w:space="0" w:color="auto"/>
              <w:left w:val="single" w:sz="4" w:space="0" w:color="auto"/>
              <w:bottom w:val="single" w:sz="4" w:space="0" w:color="auto"/>
            </w:tcBorders>
          </w:tcPr>
          <w:p w14:paraId="281DD94F" w14:textId="77777777" w:rsidR="006071BB" w:rsidRPr="00622FF3" w:rsidRDefault="006071BB" w:rsidP="006071BB">
            <w:pPr>
              <w:pStyle w:val="NoSpacing"/>
            </w:pPr>
          </w:p>
        </w:tc>
      </w:tr>
      <w:tr w:rsidR="006071BB" w:rsidRPr="00B64A59" w14:paraId="7E96C37E"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080CA84A" w14:textId="77777777" w:rsidR="006071BB" w:rsidRPr="00AC3A11" w:rsidRDefault="006071BB" w:rsidP="006071BB">
            <w:pPr>
              <w:rPr>
                <w:iCs/>
                <w:color w:val="000000"/>
              </w:rPr>
            </w:pPr>
            <w:r w:rsidRPr="00AC3A11">
              <w:rPr>
                <w:iCs/>
                <w:color w:val="000000"/>
              </w:rPr>
              <w:t>6.16.1.Percentage of functional information systems deployed and maintained</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68A0D521" w14:textId="77777777" w:rsidR="006071BB" w:rsidRPr="00AC3A11" w:rsidRDefault="006071BB" w:rsidP="006071BB">
            <w:pPr>
              <w:jc w:val="center"/>
              <w:rPr>
                <w:i/>
                <w:iCs/>
                <w:color w:val="000000"/>
              </w:rPr>
            </w:pPr>
            <w:r>
              <w:rPr>
                <w:i/>
                <w:iCs/>
                <w:color w:val="00000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D1D404E" w14:textId="77777777" w:rsidR="006071BB" w:rsidRPr="00AC3A11" w:rsidRDefault="006071BB" w:rsidP="006071BB">
            <w:pPr>
              <w:jc w:val="center"/>
              <w:rPr>
                <w:i/>
                <w:iCs/>
                <w:color w:val="000000"/>
              </w:rPr>
            </w:pPr>
            <w:r>
              <w:rPr>
                <w:i/>
                <w:iCs/>
                <w:color w:val="000000"/>
              </w:rPr>
              <w:t>23.08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638F110" w14:textId="77777777" w:rsidR="006071BB" w:rsidRPr="00AC3A11" w:rsidRDefault="006071BB" w:rsidP="006071BB">
            <w:pPr>
              <w:jc w:val="center"/>
            </w:pPr>
            <w:r>
              <w:t>76.92%</w:t>
            </w:r>
          </w:p>
        </w:tc>
        <w:tc>
          <w:tcPr>
            <w:tcW w:w="1276" w:type="dxa"/>
            <w:tcBorders>
              <w:top w:val="single" w:sz="4" w:space="0" w:color="auto"/>
              <w:left w:val="single" w:sz="4" w:space="0" w:color="auto"/>
              <w:bottom w:val="single" w:sz="4" w:space="0" w:color="auto"/>
              <w:right w:val="single" w:sz="4" w:space="0" w:color="auto"/>
            </w:tcBorders>
          </w:tcPr>
          <w:p w14:paraId="3184CF0D" w14:textId="77777777" w:rsidR="006071BB" w:rsidRPr="00AC3A11" w:rsidRDefault="006071BB" w:rsidP="006071BB">
            <w:r>
              <w:t>Major Deviation</w:t>
            </w:r>
          </w:p>
        </w:tc>
        <w:tc>
          <w:tcPr>
            <w:tcW w:w="1984" w:type="dxa"/>
            <w:tcBorders>
              <w:top w:val="single" w:sz="4" w:space="0" w:color="auto"/>
              <w:left w:val="single" w:sz="4" w:space="0" w:color="auto"/>
              <w:bottom w:val="single" w:sz="4" w:space="0" w:color="auto"/>
            </w:tcBorders>
          </w:tcPr>
          <w:p w14:paraId="4F07F033" w14:textId="77777777" w:rsidR="006071BB" w:rsidRPr="00622FF3" w:rsidRDefault="006071BB" w:rsidP="006071BB">
            <w:pPr>
              <w:pStyle w:val="NoSpacing"/>
            </w:pPr>
            <w:r>
              <w:rPr>
                <w:sz w:val="20"/>
                <w:szCs w:val="20"/>
              </w:rPr>
              <w:t>For clarification to Central Office</w:t>
            </w:r>
          </w:p>
        </w:tc>
      </w:tr>
      <w:tr w:rsidR="006071BB" w:rsidRPr="00B64A59" w14:paraId="2F00D0CD" w14:textId="77777777" w:rsidTr="00023229">
        <w:trPr>
          <w:trHeight w:val="189"/>
        </w:trPr>
        <w:tc>
          <w:tcPr>
            <w:tcW w:w="2280"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8D6B959" w14:textId="77777777" w:rsidR="006071BB" w:rsidRPr="00AC3A11" w:rsidRDefault="006071BB" w:rsidP="006071BB">
            <w:pPr>
              <w:rPr>
                <w:color w:val="000000"/>
              </w:rPr>
            </w:pPr>
            <w:r w:rsidRPr="00AC3A11">
              <w:rPr>
                <w:iCs/>
                <w:color w:val="000000"/>
              </w:rPr>
              <w:t>6.16.2.</w:t>
            </w:r>
            <w:r w:rsidRPr="00AC3A11">
              <w:rPr>
                <w:color w:val="000000"/>
              </w:rPr>
              <w:t>Number of Information systems developed/enhanced in partnership with Business Owner</w:t>
            </w:r>
          </w:p>
        </w:tc>
        <w:tc>
          <w:tcPr>
            <w:tcW w:w="1543" w:type="dxa"/>
            <w:tcBorders>
              <w:top w:val="single" w:sz="4" w:space="0" w:color="auto"/>
              <w:left w:val="nil"/>
              <w:bottom w:val="single" w:sz="4" w:space="0" w:color="auto"/>
              <w:right w:val="single" w:sz="4" w:space="0" w:color="000000"/>
            </w:tcBorders>
            <w:shd w:val="clear" w:color="auto" w:fill="FFFFFF" w:themeFill="background1"/>
          </w:tcPr>
          <w:p w14:paraId="60917FD8" w14:textId="77777777" w:rsidR="006071BB" w:rsidRPr="006071BB" w:rsidRDefault="006071BB" w:rsidP="006071BB">
            <w:pPr>
              <w:jc w:val="center"/>
              <w:rPr>
                <w:iCs/>
                <w:color w:val="000000"/>
              </w:rPr>
            </w:pPr>
            <w:r>
              <w:rPr>
                <w:iCs/>
                <w:color w:val="000000"/>
              </w:rPr>
              <w:t>6</w:t>
            </w:r>
          </w:p>
        </w:tc>
        <w:tc>
          <w:tcPr>
            <w:tcW w:w="1559" w:type="dxa"/>
            <w:tcBorders>
              <w:top w:val="single" w:sz="4" w:space="0" w:color="auto"/>
              <w:left w:val="nil"/>
              <w:bottom w:val="single" w:sz="4" w:space="0" w:color="auto"/>
              <w:right w:val="single" w:sz="4" w:space="0" w:color="000000"/>
            </w:tcBorders>
            <w:shd w:val="clear" w:color="auto" w:fill="FFFFFF" w:themeFill="background1"/>
          </w:tcPr>
          <w:p w14:paraId="48E26CB1" w14:textId="77777777" w:rsidR="006071BB" w:rsidRPr="006071BB" w:rsidRDefault="006071BB" w:rsidP="006071BB">
            <w:pPr>
              <w:jc w:val="center"/>
              <w:rPr>
                <w:iCs/>
                <w:color w:val="000000"/>
              </w:rPr>
            </w:pPr>
            <w:r w:rsidRPr="006071BB">
              <w:rPr>
                <w:iCs/>
                <w:color w:val="000000"/>
              </w:rPr>
              <w:t>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170995E" w14:textId="77777777" w:rsidR="006071BB" w:rsidRPr="00AC3A11" w:rsidRDefault="006071BB" w:rsidP="006071BB">
            <w:pPr>
              <w:jc w:val="center"/>
            </w:pPr>
            <w:r>
              <w:t xml:space="preserve">-3 </w:t>
            </w:r>
          </w:p>
        </w:tc>
        <w:tc>
          <w:tcPr>
            <w:tcW w:w="1276" w:type="dxa"/>
            <w:tcBorders>
              <w:top w:val="single" w:sz="4" w:space="0" w:color="auto"/>
              <w:left w:val="single" w:sz="4" w:space="0" w:color="auto"/>
              <w:bottom w:val="single" w:sz="4" w:space="0" w:color="auto"/>
              <w:right w:val="single" w:sz="4" w:space="0" w:color="auto"/>
            </w:tcBorders>
          </w:tcPr>
          <w:p w14:paraId="47B88789" w14:textId="77777777" w:rsidR="006071BB" w:rsidRPr="00AC3A11" w:rsidRDefault="006071BB" w:rsidP="006071BB">
            <w:r>
              <w:t>Major Deviation</w:t>
            </w:r>
          </w:p>
        </w:tc>
        <w:tc>
          <w:tcPr>
            <w:tcW w:w="1984" w:type="dxa"/>
            <w:tcBorders>
              <w:top w:val="single" w:sz="4" w:space="0" w:color="auto"/>
              <w:left w:val="single" w:sz="4" w:space="0" w:color="auto"/>
              <w:bottom w:val="single" w:sz="4" w:space="0" w:color="auto"/>
            </w:tcBorders>
          </w:tcPr>
          <w:p w14:paraId="0D346B30" w14:textId="77777777" w:rsidR="006071BB" w:rsidRPr="00622FF3" w:rsidRDefault="006071BB" w:rsidP="006071BB">
            <w:pPr>
              <w:pStyle w:val="NoSpacing"/>
            </w:pPr>
          </w:p>
        </w:tc>
      </w:tr>
      <w:tr w:rsidR="006071BB" w:rsidRPr="00B64A59" w14:paraId="4EFDA460"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4D57236F" w14:textId="77777777" w:rsidR="006071BB" w:rsidRPr="00AC3A11" w:rsidRDefault="006071BB" w:rsidP="006071BB">
            <w:pPr>
              <w:rPr>
                <w:color w:val="000000"/>
              </w:rPr>
            </w:pPr>
            <w:r w:rsidRPr="00AC3A11">
              <w:rPr>
                <w:iCs/>
                <w:color w:val="000000"/>
              </w:rPr>
              <w:t>6.16.3.</w:t>
            </w:r>
            <w:r w:rsidRPr="00AC3A11">
              <w:rPr>
                <w:color w:val="000000"/>
              </w:rPr>
              <w:t>Number of information systems maintained thru interventions and corresponding technical assistance to business owner/users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22F746CC" w14:textId="77777777" w:rsidR="006071BB" w:rsidRPr="006071BB" w:rsidRDefault="006071BB" w:rsidP="006071BB">
            <w:pPr>
              <w:jc w:val="center"/>
              <w:rPr>
                <w:iCs/>
                <w:color w:val="000000"/>
              </w:rPr>
            </w:pPr>
            <w:r w:rsidRPr="006071BB">
              <w:rPr>
                <w:iCs/>
                <w:color w:val="000000"/>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63C20D" w14:textId="77777777" w:rsidR="006071BB" w:rsidRPr="006071BB" w:rsidRDefault="006071BB" w:rsidP="006071BB">
            <w:pPr>
              <w:jc w:val="center"/>
              <w:rPr>
                <w:iCs/>
                <w:color w:val="000000"/>
              </w:rPr>
            </w:pPr>
            <w:r w:rsidRPr="006071BB">
              <w:rPr>
                <w:iCs/>
                <w:color w:val="000000"/>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5181A35" w14:textId="77777777" w:rsidR="006071BB" w:rsidRPr="00AC3A11" w:rsidRDefault="008C4479" w:rsidP="006071BB">
            <w:pPr>
              <w:jc w:val="center"/>
              <w:rPr>
                <w:b/>
              </w:rPr>
            </w:pPr>
            <w:r>
              <w:rPr>
                <w:b/>
              </w:rPr>
              <w:t>0</w:t>
            </w:r>
          </w:p>
        </w:tc>
        <w:tc>
          <w:tcPr>
            <w:tcW w:w="1276" w:type="dxa"/>
            <w:tcBorders>
              <w:top w:val="single" w:sz="4" w:space="0" w:color="auto"/>
              <w:left w:val="single" w:sz="4" w:space="0" w:color="auto"/>
              <w:bottom w:val="single" w:sz="4" w:space="0" w:color="auto"/>
              <w:right w:val="single" w:sz="4" w:space="0" w:color="auto"/>
            </w:tcBorders>
          </w:tcPr>
          <w:p w14:paraId="28B2208C" w14:textId="77777777" w:rsidR="006071BB" w:rsidRPr="00AC3A11" w:rsidRDefault="008C4479" w:rsidP="006071BB">
            <w:r>
              <w:t xml:space="preserve">Full Target Achieved </w:t>
            </w:r>
          </w:p>
        </w:tc>
        <w:tc>
          <w:tcPr>
            <w:tcW w:w="1984" w:type="dxa"/>
            <w:tcBorders>
              <w:top w:val="single" w:sz="4" w:space="0" w:color="auto"/>
              <w:left w:val="single" w:sz="4" w:space="0" w:color="auto"/>
              <w:bottom w:val="single" w:sz="4" w:space="0" w:color="auto"/>
            </w:tcBorders>
          </w:tcPr>
          <w:p w14:paraId="549764AA" w14:textId="77777777" w:rsidR="006071BB" w:rsidRPr="00622FF3" w:rsidRDefault="006071BB" w:rsidP="006071BB">
            <w:pPr>
              <w:pStyle w:val="NoSpacing"/>
            </w:pPr>
          </w:p>
        </w:tc>
      </w:tr>
      <w:tr w:rsidR="006071BB" w:rsidRPr="00B64A59" w14:paraId="5A96C700" w14:textId="77777777" w:rsidTr="00023229">
        <w:trPr>
          <w:trHeight w:val="189"/>
        </w:trPr>
        <w:tc>
          <w:tcPr>
            <w:tcW w:w="2280"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397CFD0" w14:textId="77777777" w:rsidR="006071BB" w:rsidRPr="00AC3A11" w:rsidRDefault="006071BB" w:rsidP="006071BB">
            <w:pPr>
              <w:rPr>
                <w:bCs/>
                <w:color w:val="000000"/>
              </w:rPr>
            </w:pPr>
            <w:r w:rsidRPr="00AC3A11">
              <w:rPr>
                <w:bCs/>
                <w:color w:val="000000"/>
              </w:rPr>
              <w:t>6.17. Purposive data management for information sharing</w:t>
            </w:r>
          </w:p>
        </w:tc>
        <w:tc>
          <w:tcPr>
            <w:tcW w:w="1543" w:type="dxa"/>
            <w:tcBorders>
              <w:top w:val="single" w:sz="4" w:space="0" w:color="auto"/>
              <w:left w:val="single" w:sz="4" w:space="0" w:color="auto"/>
              <w:bottom w:val="single" w:sz="4" w:space="0" w:color="auto"/>
              <w:right w:val="single" w:sz="4" w:space="0" w:color="auto"/>
            </w:tcBorders>
          </w:tcPr>
          <w:p w14:paraId="220C4FB5" w14:textId="77777777" w:rsidR="006071BB" w:rsidRPr="00AC3A11" w:rsidRDefault="006071BB" w:rsidP="006071BB">
            <w:pPr>
              <w:pStyle w:val="NoSpacing"/>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5A9105" w14:textId="77777777" w:rsidR="006071BB" w:rsidRPr="00AC3A11" w:rsidRDefault="006071BB" w:rsidP="006071BB">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67A447C" w14:textId="77777777" w:rsidR="006071BB" w:rsidRPr="00AC3A11" w:rsidRDefault="006071BB" w:rsidP="006071BB"/>
        </w:tc>
        <w:tc>
          <w:tcPr>
            <w:tcW w:w="1276" w:type="dxa"/>
            <w:tcBorders>
              <w:top w:val="single" w:sz="4" w:space="0" w:color="auto"/>
              <w:left w:val="single" w:sz="4" w:space="0" w:color="auto"/>
              <w:bottom w:val="single" w:sz="4" w:space="0" w:color="auto"/>
              <w:right w:val="single" w:sz="4" w:space="0" w:color="auto"/>
            </w:tcBorders>
          </w:tcPr>
          <w:p w14:paraId="3BA21074" w14:textId="77777777" w:rsidR="006071BB" w:rsidRPr="00AC3A11" w:rsidRDefault="006071BB" w:rsidP="006071BB"/>
        </w:tc>
        <w:tc>
          <w:tcPr>
            <w:tcW w:w="1984" w:type="dxa"/>
            <w:tcBorders>
              <w:top w:val="single" w:sz="4" w:space="0" w:color="auto"/>
              <w:left w:val="single" w:sz="4" w:space="0" w:color="auto"/>
              <w:bottom w:val="single" w:sz="4" w:space="0" w:color="auto"/>
            </w:tcBorders>
          </w:tcPr>
          <w:p w14:paraId="535E0FF3" w14:textId="77777777" w:rsidR="006071BB" w:rsidRPr="00622FF3" w:rsidRDefault="006071BB" w:rsidP="006071BB">
            <w:pPr>
              <w:pStyle w:val="NoSpacing"/>
            </w:pPr>
          </w:p>
        </w:tc>
      </w:tr>
      <w:tr w:rsidR="006071BB" w:rsidRPr="00B64A59" w14:paraId="3F13F267"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655D3027" w14:textId="77777777" w:rsidR="006071BB" w:rsidRPr="00AC3A11" w:rsidRDefault="006071BB" w:rsidP="006071BB">
            <w:pPr>
              <w:rPr>
                <w:color w:val="000000"/>
              </w:rPr>
            </w:pPr>
            <w:r w:rsidRPr="00AC3A11">
              <w:rPr>
                <w:color w:val="000000"/>
              </w:rPr>
              <w:t>6.17.1. Percentage of mission</w:t>
            </w:r>
            <w:r>
              <w:rPr>
                <w:color w:val="000000"/>
              </w:rPr>
              <w:t>-</w:t>
            </w:r>
            <w:r w:rsidRPr="00AC3A11">
              <w:rPr>
                <w:color w:val="000000"/>
              </w:rPr>
              <w:t>critical databases managed and maintained</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430D2A40" w14:textId="77777777" w:rsidR="006071BB" w:rsidRPr="00AC3A11" w:rsidRDefault="008C4479" w:rsidP="006071BB">
            <w:pPr>
              <w:jc w:val="center"/>
              <w:rPr>
                <w:b/>
                <w:iCs/>
                <w:color w:val="000000"/>
              </w:rPr>
            </w:pPr>
            <w:r>
              <w:rPr>
                <w:b/>
                <w:iCs/>
                <w:color w:val="00000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B1AAA2C" w14:textId="77777777" w:rsidR="006071BB" w:rsidRPr="00AC3A11" w:rsidRDefault="008C4479" w:rsidP="006071BB">
            <w:pPr>
              <w:jc w:val="center"/>
              <w:rPr>
                <w:b/>
                <w:iCs/>
                <w:color w:val="000000"/>
              </w:rPr>
            </w:pPr>
            <w:r>
              <w:rPr>
                <w:b/>
                <w:iCs/>
                <w:color w:val="000000"/>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8FF3A6A" w14:textId="77777777" w:rsidR="006071BB" w:rsidRPr="00AC3A11" w:rsidRDefault="008C4479" w:rsidP="006071BB">
            <w:r>
              <w:t>0</w:t>
            </w:r>
          </w:p>
        </w:tc>
        <w:tc>
          <w:tcPr>
            <w:tcW w:w="1276" w:type="dxa"/>
            <w:tcBorders>
              <w:top w:val="single" w:sz="4" w:space="0" w:color="auto"/>
              <w:left w:val="single" w:sz="4" w:space="0" w:color="auto"/>
              <w:bottom w:val="single" w:sz="4" w:space="0" w:color="auto"/>
              <w:right w:val="single" w:sz="4" w:space="0" w:color="auto"/>
            </w:tcBorders>
          </w:tcPr>
          <w:p w14:paraId="7270EC04" w14:textId="77777777" w:rsidR="006071BB" w:rsidRPr="00AC3A11" w:rsidRDefault="008C4479" w:rsidP="006071BB">
            <w:r>
              <w:t>Full Target Achieved</w:t>
            </w:r>
          </w:p>
        </w:tc>
        <w:tc>
          <w:tcPr>
            <w:tcW w:w="1984" w:type="dxa"/>
            <w:tcBorders>
              <w:top w:val="single" w:sz="4" w:space="0" w:color="auto"/>
              <w:left w:val="single" w:sz="4" w:space="0" w:color="auto"/>
              <w:bottom w:val="single" w:sz="4" w:space="0" w:color="auto"/>
            </w:tcBorders>
          </w:tcPr>
          <w:p w14:paraId="711B4ADD" w14:textId="77777777" w:rsidR="006071BB" w:rsidRPr="00622FF3" w:rsidRDefault="006071BB" w:rsidP="006071BB">
            <w:pPr>
              <w:pStyle w:val="NoSpacing"/>
            </w:pPr>
          </w:p>
        </w:tc>
      </w:tr>
      <w:tr w:rsidR="006071BB" w:rsidRPr="00B64A59" w14:paraId="50A0F61A"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7B472578" w14:textId="77777777" w:rsidR="006071BB" w:rsidRPr="00AC3A11" w:rsidRDefault="006071BB" w:rsidP="006071BB">
            <w:pPr>
              <w:rPr>
                <w:color w:val="000000"/>
              </w:rPr>
            </w:pPr>
            <w:r w:rsidRPr="00AC3A11">
              <w:rPr>
                <w:color w:val="000000"/>
              </w:rPr>
              <w:t>6.17.2. Number of DSWD databases supporting programs, projects</w:t>
            </w:r>
            <w:r>
              <w:rPr>
                <w:color w:val="000000"/>
              </w:rPr>
              <w:t>,</w:t>
            </w:r>
            <w:r w:rsidRPr="00AC3A11">
              <w:rPr>
                <w:color w:val="000000"/>
              </w:rPr>
              <w:t xml:space="preserve"> and services managed and maintained</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73755471" w14:textId="77777777" w:rsidR="006071BB" w:rsidRPr="00AC3A11" w:rsidRDefault="008C4479" w:rsidP="006071BB">
            <w:pPr>
              <w:jc w:val="center"/>
              <w:rPr>
                <w:b/>
                <w:i/>
                <w:iCs/>
                <w:color w:val="000000"/>
              </w:rPr>
            </w:pPr>
            <w:r>
              <w:rPr>
                <w:b/>
                <w:i/>
                <w:iCs/>
                <w:color w:val="000000"/>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73569F5" w14:textId="77777777" w:rsidR="006071BB" w:rsidRPr="00AC3A11" w:rsidRDefault="008C4479" w:rsidP="006071BB">
            <w:pPr>
              <w:jc w:val="center"/>
              <w:rPr>
                <w:b/>
                <w:iCs/>
                <w:color w:val="000000"/>
              </w:rPr>
            </w:pPr>
            <w:r>
              <w:rPr>
                <w:b/>
                <w:iCs/>
                <w:color w:val="000000"/>
              </w:rPr>
              <w:t>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72EE665" w14:textId="77777777" w:rsidR="006071BB" w:rsidRPr="00AC3A11" w:rsidRDefault="008C4479" w:rsidP="008C4479">
            <w:r>
              <w:t>-3</w:t>
            </w:r>
          </w:p>
        </w:tc>
        <w:tc>
          <w:tcPr>
            <w:tcW w:w="1276" w:type="dxa"/>
            <w:tcBorders>
              <w:top w:val="single" w:sz="4" w:space="0" w:color="auto"/>
              <w:left w:val="single" w:sz="4" w:space="0" w:color="auto"/>
              <w:bottom w:val="single" w:sz="4" w:space="0" w:color="auto"/>
              <w:right w:val="single" w:sz="4" w:space="0" w:color="auto"/>
            </w:tcBorders>
          </w:tcPr>
          <w:p w14:paraId="3D499D6A" w14:textId="77777777" w:rsidR="006071BB" w:rsidRPr="00AC3A11" w:rsidRDefault="008C4479" w:rsidP="006071BB">
            <w:r>
              <w:t>Major Deviation</w:t>
            </w:r>
          </w:p>
        </w:tc>
        <w:tc>
          <w:tcPr>
            <w:tcW w:w="1984" w:type="dxa"/>
            <w:tcBorders>
              <w:top w:val="single" w:sz="4" w:space="0" w:color="auto"/>
              <w:left w:val="single" w:sz="4" w:space="0" w:color="auto"/>
              <w:bottom w:val="single" w:sz="4" w:space="0" w:color="auto"/>
            </w:tcBorders>
          </w:tcPr>
          <w:p w14:paraId="4C28B47D" w14:textId="77777777" w:rsidR="006071BB" w:rsidRPr="00622FF3" w:rsidRDefault="006071BB" w:rsidP="006071BB">
            <w:pPr>
              <w:pStyle w:val="NoSpacing"/>
            </w:pPr>
          </w:p>
        </w:tc>
      </w:tr>
      <w:tr w:rsidR="006071BB" w:rsidRPr="00B64A59" w14:paraId="337D00E4" w14:textId="77777777" w:rsidTr="00023229">
        <w:trPr>
          <w:trHeight w:val="189"/>
        </w:trPr>
        <w:tc>
          <w:tcPr>
            <w:tcW w:w="2280"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4A0E235A" w14:textId="77777777" w:rsidR="006071BB" w:rsidRPr="00AC3A11" w:rsidRDefault="006071BB" w:rsidP="006071BB">
            <w:pPr>
              <w:rPr>
                <w:color w:val="000000"/>
              </w:rPr>
            </w:pPr>
            <w:r w:rsidRPr="00AC3A11">
              <w:rPr>
                <w:color w:val="000000"/>
              </w:rPr>
              <w:lastRenderedPageBreak/>
              <w:t xml:space="preserve">6.17.3.Number of programs for </w:t>
            </w:r>
            <w:r>
              <w:rPr>
                <w:color w:val="000000"/>
              </w:rPr>
              <w:t xml:space="preserve">the </w:t>
            </w:r>
            <w:r w:rsidRPr="00AC3A11">
              <w:rPr>
                <w:color w:val="000000"/>
              </w:rPr>
              <w:t>build-up and deployed databases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tcPr>
          <w:p w14:paraId="1B6F20B8" w14:textId="77777777" w:rsidR="006071BB" w:rsidRPr="00023229" w:rsidRDefault="008C4479" w:rsidP="006071BB">
            <w:pPr>
              <w:jc w:val="center"/>
              <w:rPr>
                <w:i/>
                <w:iCs/>
                <w:color w:val="000000"/>
              </w:rPr>
            </w:pPr>
            <w:r w:rsidRPr="00023229">
              <w:rPr>
                <w:i/>
                <w:iCs/>
                <w:color w:val="000000"/>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146F156" w14:textId="77777777" w:rsidR="006071BB" w:rsidRPr="00023229" w:rsidRDefault="008C4479" w:rsidP="006071BB">
            <w:pPr>
              <w:jc w:val="center"/>
              <w:rPr>
                <w:iCs/>
                <w:color w:val="000000"/>
              </w:rPr>
            </w:pPr>
            <w:r w:rsidRPr="00023229">
              <w:rPr>
                <w:iCs/>
                <w:color w:val="000000"/>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9A53673" w14:textId="77777777" w:rsidR="006071BB" w:rsidRPr="00AC3A11" w:rsidRDefault="008C4479" w:rsidP="006071BB">
            <w:r>
              <w:t>+7</w:t>
            </w:r>
          </w:p>
        </w:tc>
        <w:tc>
          <w:tcPr>
            <w:tcW w:w="1276" w:type="dxa"/>
            <w:tcBorders>
              <w:top w:val="single" w:sz="4" w:space="0" w:color="auto"/>
              <w:left w:val="single" w:sz="4" w:space="0" w:color="auto"/>
              <w:bottom w:val="single" w:sz="4" w:space="0" w:color="auto"/>
              <w:right w:val="single" w:sz="4" w:space="0" w:color="auto"/>
            </w:tcBorders>
          </w:tcPr>
          <w:p w14:paraId="0226BB30" w14:textId="77777777" w:rsidR="006071BB" w:rsidRPr="00AC3A11" w:rsidRDefault="008C4479" w:rsidP="006071BB">
            <w:r>
              <w:t xml:space="preserve">Full Target Achieved </w:t>
            </w:r>
          </w:p>
        </w:tc>
        <w:tc>
          <w:tcPr>
            <w:tcW w:w="1984" w:type="dxa"/>
            <w:tcBorders>
              <w:top w:val="single" w:sz="4" w:space="0" w:color="auto"/>
              <w:left w:val="single" w:sz="4" w:space="0" w:color="auto"/>
              <w:bottom w:val="single" w:sz="4" w:space="0" w:color="auto"/>
            </w:tcBorders>
          </w:tcPr>
          <w:p w14:paraId="22E7D903" w14:textId="77777777" w:rsidR="006071BB" w:rsidRPr="00622FF3" w:rsidRDefault="006071BB" w:rsidP="006071BB">
            <w:pPr>
              <w:pStyle w:val="NoSpacing"/>
            </w:pPr>
          </w:p>
        </w:tc>
      </w:tr>
      <w:tr w:rsidR="006071BB" w:rsidRPr="00B64A59" w14:paraId="118DF443"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5D97E92B" w14:textId="77777777" w:rsidR="006071BB" w:rsidRPr="00AC3A11" w:rsidRDefault="006071BB" w:rsidP="006071BB">
            <w:pPr>
              <w:rPr>
                <w:color w:val="000000"/>
              </w:rPr>
            </w:pPr>
            <w:r w:rsidRPr="00AC3A11">
              <w:rPr>
                <w:color w:val="000000"/>
              </w:rPr>
              <w:t>6.18. Percentage uptime of DSWD Enterprise Network (Infrastructure Management)</w:t>
            </w:r>
          </w:p>
        </w:tc>
        <w:tc>
          <w:tcPr>
            <w:tcW w:w="1543" w:type="dxa"/>
            <w:tcBorders>
              <w:top w:val="single" w:sz="4" w:space="0" w:color="auto"/>
              <w:left w:val="single" w:sz="4" w:space="0" w:color="auto"/>
              <w:bottom w:val="single" w:sz="4" w:space="0" w:color="auto"/>
              <w:right w:val="single" w:sz="4" w:space="0" w:color="auto"/>
            </w:tcBorders>
          </w:tcPr>
          <w:p w14:paraId="27D8F542" w14:textId="77777777" w:rsidR="006071BB" w:rsidRPr="00AC3A11" w:rsidRDefault="008C4479" w:rsidP="006071BB">
            <w:pPr>
              <w:pStyle w:val="NoSpacing"/>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45A843" w14:textId="77777777" w:rsidR="006071BB" w:rsidRPr="00AC3A11" w:rsidRDefault="008C4479" w:rsidP="006071BB">
            <w:pPr>
              <w:jc w:val="center"/>
              <w:rPr>
                <w:color w:val="000000"/>
              </w:rPr>
            </w:pPr>
            <w:r>
              <w:rPr>
                <w:color w:val="000000"/>
              </w:rPr>
              <w:t>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054F087" w14:textId="77777777" w:rsidR="006071BB" w:rsidRPr="00AC3A11" w:rsidRDefault="008C4479" w:rsidP="006071BB">
            <w:r>
              <w:t>-80%</w:t>
            </w:r>
          </w:p>
        </w:tc>
        <w:tc>
          <w:tcPr>
            <w:tcW w:w="1276" w:type="dxa"/>
            <w:tcBorders>
              <w:top w:val="single" w:sz="4" w:space="0" w:color="auto"/>
              <w:left w:val="single" w:sz="4" w:space="0" w:color="auto"/>
              <w:bottom w:val="single" w:sz="4" w:space="0" w:color="auto"/>
              <w:right w:val="single" w:sz="4" w:space="0" w:color="auto"/>
            </w:tcBorders>
          </w:tcPr>
          <w:p w14:paraId="259C2AE2" w14:textId="77777777" w:rsidR="006071BB" w:rsidRPr="00AC3A11" w:rsidRDefault="008C4479" w:rsidP="006071BB">
            <w:r>
              <w:t>Major Deviation</w:t>
            </w:r>
          </w:p>
        </w:tc>
        <w:tc>
          <w:tcPr>
            <w:tcW w:w="1984" w:type="dxa"/>
            <w:tcBorders>
              <w:top w:val="single" w:sz="4" w:space="0" w:color="auto"/>
              <w:left w:val="single" w:sz="4" w:space="0" w:color="auto"/>
              <w:bottom w:val="single" w:sz="4" w:space="0" w:color="auto"/>
            </w:tcBorders>
          </w:tcPr>
          <w:p w14:paraId="7325F0A6" w14:textId="77777777" w:rsidR="006071BB" w:rsidRPr="00622FF3" w:rsidRDefault="006071BB" w:rsidP="006071BB">
            <w:pPr>
              <w:pStyle w:val="NoSpacing"/>
            </w:pPr>
          </w:p>
        </w:tc>
      </w:tr>
      <w:tr w:rsidR="008C4479" w:rsidRPr="00B64A59" w14:paraId="240FCE93"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0DE06DCF" w14:textId="77777777" w:rsidR="008C4479" w:rsidRPr="00AC3A11" w:rsidRDefault="008C4479" w:rsidP="008C4479">
            <w:pPr>
              <w:rPr>
                <w:color w:val="000000"/>
              </w:rPr>
            </w:pPr>
            <w:r w:rsidRPr="00AC3A11">
              <w:rPr>
                <w:color w:val="000000"/>
              </w:rPr>
              <w:t>Percentage Uptime of Local Servers and Storage</w:t>
            </w:r>
          </w:p>
        </w:tc>
        <w:tc>
          <w:tcPr>
            <w:tcW w:w="1543" w:type="dxa"/>
            <w:tcBorders>
              <w:top w:val="single" w:sz="4" w:space="0" w:color="auto"/>
              <w:left w:val="single" w:sz="4" w:space="0" w:color="auto"/>
              <w:bottom w:val="single" w:sz="4" w:space="0" w:color="auto"/>
              <w:right w:val="single" w:sz="4" w:space="0" w:color="auto"/>
            </w:tcBorders>
          </w:tcPr>
          <w:p w14:paraId="75E14BE7" w14:textId="77777777" w:rsidR="008C4479" w:rsidRPr="00AC3A11" w:rsidRDefault="008C4479" w:rsidP="008C4479">
            <w:pPr>
              <w:pStyle w:val="NoSpacing"/>
              <w:jc w:val="center"/>
            </w:pPr>
            <w:r>
              <w:t>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29D57A" w14:textId="77777777" w:rsidR="008C4479" w:rsidRPr="00AC3A11" w:rsidRDefault="008C4479" w:rsidP="008C4479">
            <w:pPr>
              <w:jc w:val="center"/>
              <w:rPr>
                <w:color w:val="000000"/>
              </w:rPr>
            </w:pPr>
            <w:r>
              <w:rPr>
                <w:color w:val="000000"/>
              </w:rPr>
              <w:t>99%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2EF8D33" w14:textId="77777777" w:rsidR="008C4479" w:rsidRPr="00AC3A11" w:rsidRDefault="008C4479" w:rsidP="008C4479">
            <w:r>
              <w:t>+4%</w:t>
            </w:r>
          </w:p>
        </w:tc>
        <w:tc>
          <w:tcPr>
            <w:tcW w:w="1276" w:type="dxa"/>
            <w:tcBorders>
              <w:top w:val="single" w:sz="4" w:space="0" w:color="auto"/>
              <w:left w:val="single" w:sz="4" w:space="0" w:color="auto"/>
              <w:bottom w:val="single" w:sz="4" w:space="0" w:color="auto"/>
              <w:right w:val="single" w:sz="4" w:space="0" w:color="auto"/>
            </w:tcBorders>
          </w:tcPr>
          <w:p w14:paraId="1B08BC3D" w14:textId="77777777" w:rsidR="008C4479" w:rsidRPr="00AC3A11" w:rsidRDefault="008C4479" w:rsidP="008C4479">
            <w:r>
              <w:t xml:space="preserve">Full Target Achieved </w:t>
            </w:r>
          </w:p>
        </w:tc>
        <w:tc>
          <w:tcPr>
            <w:tcW w:w="1984" w:type="dxa"/>
            <w:tcBorders>
              <w:top w:val="single" w:sz="4" w:space="0" w:color="auto"/>
              <w:left w:val="single" w:sz="4" w:space="0" w:color="auto"/>
              <w:bottom w:val="single" w:sz="4" w:space="0" w:color="auto"/>
            </w:tcBorders>
          </w:tcPr>
          <w:p w14:paraId="392A3A6A" w14:textId="77777777" w:rsidR="008C4479" w:rsidRPr="00622FF3" w:rsidRDefault="008C4479" w:rsidP="008C4479">
            <w:pPr>
              <w:pStyle w:val="NoSpacing"/>
            </w:pPr>
          </w:p>
        </w:tc>
      </w:tr>
      <w:tr w:rsidR="008C4479" w:rsidRPr="00B64A59" w14:paraId="7E989879"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0D749D9F" w14:textId="77777777" w:rsidR="008C4479" w:rsidRPr="00AC3A11" w:rsidRDefault="008C4479" w:rsidP="008C4479">
            <w:pPr>
              <w:rPr>
                <w:color w:val="000000"/>
              </w:rPr>
            </w:pPr>
            <w:r w:rsidRPr="00AC3A11">
              <w:rPr>
                <w:color w:val="000000"/>
              </w:rPr>
              <w:t>Percentage uptime of local datacenter/interim datacenter</w:t>
            </w:r>
          </w:p>
        </w:tc>
        <w:tc>
          <w:tcPr>
            <w:tcW w:w="1543" w:type="dxa"/>
            <w:tcBorders>
              <w:top w:val="single" w:sz="4" w:space="0" w:color="auto"/>
              <w:left w:val="single" w:sz="4" w:space="0" w:color="auto"/>
              <w:bottom w:val="single" w:sz="4" w:space="0" w:color="auto"/>
              <w:right w:val="single" w:sz="4" w:space="0" w:color="auto"/>
            </w:tcBorders>
          </w:tcPr>
          <w:p w14:paraId="4DCF836D" w14:textId="77777777" w:rsidR="008C4479" w:rsidRPr="00AC3A11" w:rsidRDefault="008C4479" w:rsidP="008C4479">
            <w:pPr>
              <w:pStyle w:val="NoSpacing"/>
              <w:jc w:val="center"/>
            </w:pPr>
            <w:r>
              <w:t>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F1BBF3" w14:textId="77777777" w:rsidR="008C4479" w:rsidRPr="00AC3A11" w:rsidRDefault="008C4479" w:rsidP="008C4479">
            <w:pPr>
              <w:jc w:val="center"/>
            </w:pPr>
            <w:r>
              <w:t>99%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0C41A77" w14:textId="77777777" w:rsidR="008C4479" w:rsidRPr="00AC3A11" w:rsidRDefault="008C4479" w:rsidP="008C4479">
            <w:r>
              <w:t>+4%</w:t>
            </w:r>
          </w:p>
        </w:tc>
        <w:tc>
          <w:tcPr>
            <w:tcW w:w="1276" w:type="dxa"/>
            <w:tcBorders>
              <w:top w:val="single" w:sz="4" w:space="0" w:color="auto"/>
              <w:left w:val="single" w:sz="4" w:space="0" w:color="auto"/>
              <w:bottom w:val="single" w:sz="4" w:space="0" w:color="auto"/>
              <w:right w:val="single" w:sz="4" w:space="0" w:color="auto"/>
            </w:tcBorders>
          </w:tcPr>
          <w:p w14:paraId="0E38221F" w14:textId="77777777" w:rsidR="008C4479" w:rsidRPr="00AC3A11" w:rsidRDefault="008C4479" w:rsidP="008C4479">
            <w:r>
              <w:t xml:space="preserve">Full Target Achieved </w:t>
            </w:r>
          </w:p>
        </w:tc>
        <w:tc>
          <w:tcPr>
            <w:tcW w:w="1984" w:type="dxa"/>
            <w:tcBorders>
              <w:top w:val="single" w:sz="4" w:space="0" w:color="auto"/>
              <w:left w:val="single" w:sz="4" w:space="0" w:color="auto"/>
              <w:bottom w:val="single" w:sz="4" w:space="0" w:color="auto"/>
            </w:tcBorders>
          </w:tcPr>
          <w:p w14:paraId="1A81BF67" w14:textId="77777777" w:rsidR="008C4479" w:rsidRPr="00622FF3" w:rsidRDefault="008C4479" w:rsidP="008C4479">
            <w:pPr>
              <w:pStyle w:val="NoSpacing"/>
            </w:pPr>
          </w:p>
        </w:tc>
      </w:tr>
      <w:tr w:rsidR="008C4479" w:rsidRPr="00B64A59" w14:paraId="3540DEEF"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3F1E53CA" w14:textId="77777777" w:rsidR="008C4479" w:rsidRPr="00AC3A11" w:rsidRDefault="008C4479" w:rsidP="008C4479">
            <w:pPr>
              <w:rPr>
                <w:color w:val="000000"/>
              </w:rPr>
            </w:pPr>
            <w:r w:rsidRPr="00AC3A11">
              <w:rPr>
                <w:color w:val="000000"/>
              </w:rPr>
              <w:t>Percentage uptime of Heating, ventilation, and Air Conditioning (HVAC)</w:t>
            </w:r>
          </w:p>
        </w:tc>
        <w:tc>
          <w:tcPr>
            <w:tcW w:w="1543" w:type="dxa"/>
            <w:tcBorders>
              <w:top w:val="single" w:sz="4" w:space="0" w:color="auto"/>
              <w:left w:val="single" w:sz="4" w:space="0" w:color="auto"/>
              <w:bottom w:val="single" w:sz="4" w:space="0" w:color="auto"/>
              <w:right w:val="single" w:sz="4" w:space="0" w:color="auto"/>
            </w:tcBorders>
          </w:tcPr>
          <w:p w14:paraId="098153B6" w14:textId="77777777" w:rsidR="008C4479" w:rsidRPr="00AC3A11" w:rsidRDefault="008C4479" w:rsidP="008C4479">
            <w:pPr>
              <w:jc w:val="center"/>
            </w:pPr>
            <w:r>
              <w:t>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75331A" w14:textId="77777777" w:rsidR="008C4479" w:rsidRPr="00AC3A11" w:rsidRDefault="008C4479" w:rsidP="008C4479">
            <w:pPr>
              <w:jc w:val="center"/>
            </w:pPr>
            <w:r>
              <w:t>99%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83638F2" w14:textId="77777777" w:rsidR="008C4479" w:rsidRPr="00AC3A11" w:rsidRDefault="008C4479" w:rsidP="008C4479">
            <w:r>
              <w:t>+4%</w:t>
            </w:r>
          </w:p>
        </w:tc>
        <w:tc>
          <w:tcPr>
            <w:tcW w:w="1276" w:type="dxa"/>
            <w:tcBorders>
              <w:top w:val="single" w:sz="4" w:space="0" w:color="auto"/>
              <w:left w:val="single" w:sz="4" w:space="0" w:color="auto"/>
              <w:bottom w:val="single" w:sz="4" w:space="0" w:color="auto"/>
              <w:right w:val="single" w:sz="4" w:space="0" w:color="auto"/>
            </w:tcBorders>
          </w:tcPr>
          <w:p w14:paraId="63338736" w14:textId="77777777" w:rsidR="008C4479" w:rsidRPr="00AC3A11" w:rsidRDefault="008C4479" w:rsidP="008C4479">
            <w:r>
              <w:t xml:space="preserve">Full Target Achieved </w:t>
            </w:r>
          </w:p>
        </w:tc>
        <w:tc>
          <w:tcPr>
            <w:tcW w:w="1984" w:type="dxa"/>
            <w:tcBorders>
              <w:top w:val="single" w:sz="4" w:space="0" w:color="auto"/>
              <w:left w:val="single" w:sz="4" w:space="0" w:color="auto"/>
              <w:bottom w:val="single" w:sz="4" w:space="0" w:color="auto"/>
            </w:tcBorders>
          </w:tcPr>
          <w:p w14:paraId="4AD700A7" w14:textId="77777777" w:rsidR="008C4479" w:rsidRPr="00622FF3" w:rsidRDefault="008C4479" w:rsidP="008C4479">
            <w:pPr>
              <w:pStyle w:val="NoSpacing"/>
            </w:pPr>
          </w:p>
        </w:tc>
      </w:tr>
      <w:tr w:rsidR="008C4479" w:rsidRPr="00B64A59" w14:paraId="04CE5A9F"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14B54F9E" w14:textId="77777777" w:rsidR="008C4479" w:rsidRPr="00AC3A11" w:rsidRDefault="008C4479" w:rsidP="008C4479">
            <w:pPr>
              <w:rPr>
                <w:color w:val="000000"/>
              </w:rPr>
            </w:pPr>
            <w:r w:rsidRPr="00AC3A11">
              <w:rPr>
                <w:color w:val="000000"/>
              </w:rPr>
              <w:t>Number of functional websites developed and maintained</w:t>
            </w:r>
          </w:p>
        </w:tc>
        <w:tc>
          <w:tcPr>
            <w:tcW w:w="1543" w:type="dxa"/>
            <w:tcBorders>
              <w:top w:val="single" w:sz="4" w:space="0" w:color="auto"/>
              <w:left w:val="single" w:sz="4" w:space="0" w:color="auto"/>
              <w:bottom w:val="single" w:sz="4" w:space="0" w:color="auto"/>
              <w:right w:val="single" w:sz="4" w:space="0" w:color="auto"/>
            </w:tcBorders>
          </w:tcPr>
          <w:p w14:paraId="0ABC1D3E" w14:textId="77777777" w:rsidR="008C4479" w:rsidRPr="00AC3A11" w:rsidRDefault="008C4479" w:rsidP="008C4479">
            <w:pPr>
              <w:jc w:val="center"/>
            </w:pPr>
            <w: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BA99E1" w14:textId="77777777" w:rsidR="008C4479" w:rsidRPr="00AC3A11" w:rsidRDefault="008C4479" w:rsidP="008C4479">
            <w:pPr>
              <w:jc w:val="center"/>
              <w:rPr>
                <w:color w:val="000000"/>
              </w:rPr>
            </w:pPr>
            <w:r>
              <w:rPr>
                <w:color w:val="000000"/>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AAE3C15" w14:textId="77777777" w:rsidR="008C4479" w:rsidRPr="00AC3A11" w:rsidRDefault="008C4479" w:rsidP="008C4479">
            <w:r>
              <w:t>0</w:t>
            </w:r>
          </w:p>
        </w:tc>
        <w:tc>
          <w:tcPr>
            <w:tcW w:w="1276" w:type="dxa"/>
            <w:tcBorders>
              <w:top w:val="single" w:sz="4" w:space="0" w:color="auto"/>
              <w:left w:val="single" w:sz="4" w:space="0" w:color="auto"/>
              <w:bottom w:val="single" w:sz="4" w:space="0" w:color="auto"/>
              <w:right w:val="single" w:sz="4" w:space="0" w:color="auto"/>
            </w:tcBorders>
          </w:tcPr>
          <w:p w14:paraId="7943C878" w14:textId="77777777" w:rsidR="008C4479" w:rsidRPr="00AC3A11" w:rsidRDefault="008C4479" w:rsidP="008C4479">
            <w:r>
              <w:t>Full Target Achieved</w:t>
            </w:r>
          </w:p>
        </w:tc>
        <w:tc>
          <w:tcPr>
            <w:tcW w:w="1984" w:type="dxa"/>
            <w:tcBorders>
              <w:top w:val="single" w:sz="4" w:space="0" w:color="auto"/>
              <w:left w:val="single" w:sz="4" w:space="0" w:color="auto"/>
              <w:bottom w:val="single" w:sz="4" w:space="0" w:color="auto"/>
            </w:tcBorders>
          </w:tcPr>
          <w:p w14:paraId="386E9170" w14:textId="77777777" w:rsidR="008C4479" w:rsidRPr="00622FF3" w:rsidRDefault="008C4479" w:rsidP="008C4479">
            <w:pPr>
              <w:pStyle w:val="NoSpacing"/>
            </w:pPr>
          </w:p>
        </w:tc>
      </w:tr>
      <w:tr w:rsidR="008C4479" w:rsidRPr="00B64A59" w14:paraId="37982C9E"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auto"/>
          </w:tcPr>
          <w:p w14:paraId="7B772C92" w14:textId="77777777" w:rsidR="008C4479" w:rsidRPr="00AC3A11" w:rsidRDefault="008C4479" w:rsidP="008C4479">
            <w:pPr>
              <w:rPr>
                <w:color w:val="000000"/>
              </w:rPr>
            </w:pPr>
            <w:r w:rsidRPr="00AC3A11">
              <w:rPr>
                <w:color w:val="000000"/>
              </w:rPr>
              <w:t>Percentage uptime of local</w:t>
            </w:r>
            <w:r>
              <w:rPr>
                <w:color w:val="000000"/>
              </w:rPr>
              <w:t>ly</w:t>
            </w:r>
            <w:r w:rsidRPr="00AC3A11">
              <w:rPr>
                <w:color w:val="000000"/>
              </w:rPr>
              <w:t xml:space="preserve"> hosted websites</w:t>
            </w:r>
          </w:p>
        </w:tc>
        <w:tc>
          <w:tcPr>
            <w:tcW w:w="1543" w:type="dxa"/>
            <w:tcBorders>
              <w:top w:val="single" w:sz="4" w:space="0" w:color="auto"/>
              <w:left w:val="single" w:sz="4" w:space="0" w:color="auto"/>
              <w:bottom w:val="single" w:sz="4" w:space="0" w:color="auto"/>
              <w:right w:val="single" w:sz="4" w:space="0" w:color="auto"/>
            </w:tcBorders>
          </w:tcPr>
          <w:p w14:paraId="25F5E0B1" w14:textId="77777777" w:rsidR="008C4479" w:rsidRPr="00AC3A11" w:rsidRDefault="008C4479" w:rsidP="008C4479">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B99F52" w14:textId="77777777" w:rsidR="008C4479" w:rsidRPr="00AC3A11" w:rsidRDefault="008C4479" w:rsidP="008C4479">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021EF65" w14:textId="77777777" w:rsidR="008C4479" w:rsidRPr="00AC3A11" w:rsidRDefault="008C4479" w:rsidP="008C4479"/>
        </w:tc>
        <w:tc>
          <w:tcPr>
            <w:tcW w:w="1276" w:type="dxa"/>
            <w:tcBorders>
              <w:top w:val="single" w:sz="4" w:space="0" w:color="auto"/>
              <w:left w:val="single" w:sz="4" w:space="0" w:color="auto"/>
              <w:bottom w:val="single" w:sz="4" w:space="0" w:color="auto"/>
              <w:right w:val="single" w:sz="4" w:space="0" w:color="auto"/>
            </w:tcBorders>
          </w:tcPr>
          <w:p w14:paraId="70E9D107" w14:textId="77777777" w:rsidR="008C4479" w:rsidRPr="00AC3A11" w:rsidRDefault="008C4479" w:rsidP="008C4479"/>
        </w:tc>
        <w:tc>
          <w:tcPr>
            <w:tcW w:w="1984" w:type="dxa"/>
            <w:tcBorders>
              <w:top w:val="single" w:sz="4" w:space="0" w:color="auto"/>
              <w:left w:val="single" w:sz="4" w:space="0" w:color="auto"/>
              <w:bottom w:val="single" w:sz="4" w:space="0" w:color="auto"/>
            </w:tcBorders>
          </w:tcPr>
          <w:p w14:paraId="5504E37E" w14:textId="77777777" w:rsidR="008C4479" w:rsidRPr="00622FF3" w:rsidRDefault="008C4479" w:rsidP="008C4479">
            <w:pPr>
              <w:pStyle w:val="NoSpacing"/>
            </w:pPr>
          </w:p>
        </w:tc>
      </w:tr>
      <w:tr w:rsidR="008C4479" w:rsidRPr="00B64A59" w14:paraId="5FA4BD6F"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63F48D0D" w14:textId="77777777" w:rsidR="008C4479" w:rsidRPr="00AC3A11" w:rsidRDefault="008C4479" w:rsidP="008C4479">
            <w:pPr>
              <w:rPr>
                <w:color w:val="000000"/>
              </w:rPr>
            </w:pPr>
            <w:r w:rsidRPr="00AC3A11">
              <w:rPr>
                <w:color w:val="000000"/>
              </w:rPr>
              <w:t>6.19. Digital identity and transactions secured.</w:t>
            </w:r>
          </w:p>
        </w:tc>
        <w:tc>
          <w:tcPr>
            <w:tcW w:w="1543" w:type="dxa"/>
            <w:tcBorders>
              <w:top w:val="single" w:sz="4" w:space="0" w:color="auto"/>
              <w:left w:val="single" w:sz="4" w:space="0" w:color="auto"/>
              <w:bottom w:val="single" w:sz="4" w:space="0" w:color="auto"/>
              <w:right w:val="single" w:sz="4" w:space="0" w:color="auto"/>
            </w:tcBorders>
          </w:tcPr>
          <w:p w14:paraId="37D41BE4" w14:textId="77777777" w:rsidR="008C4479" w:rsidRPr="00AC3A11" w:rsidRDefault="008C4479" w:rsidP="008C4479">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3ED072" w14:textId="77777777" w:rsidR="008C4479" w:rsidRPr="00AC3A11" w:rsidRDefault="008C4479" w:rsidP="008C4479">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7CF7E5C" w14:textId="77777777" w:rsidR="008C4479" w:rsidRPr="00AC3A11" w:rsidRDefault="008C4479" w:rsidP="008C4479"/>
        </w:tc>
        <w:tc>
          <w:tcPr>
            <w:tcW w:w="1276" w:type="dxa"/>
            <w:tcBorders>
              <w:top w:val="single" w:sz="4" w:space="0" w:color="auto"/>
              <w:left w:val="single" w:sz="4" w:space="0" w:color="auto"/>
              <w:bottom w:val="single" w:sz="4" w:space="0" w:color="auto"/>
              <w:right w:val="single" w:sz="4" w:space="0" w:color="auto"/>
            </w:tcBorders>
          </w:tcPr>
          <w:p w14:paraId="3E2F33D6" w14:textId="77777777" w:rsidR="008C4479" w:rsidRPr="00AC3A11" w:rsidRDefault="008C4479" w:rsidP="008C4479"/>
        </w:tc>
        <w:tc>
          <w:tcPr>
            <w:tcW w:w="1984" w:type="dxa"/>
            <w:tcBorders>
              <w:top w:val="single" w:sz="4" w:space="0" w:color="auto"/>
              <w:left w:val="single" w:sz="4" w:space="0" w:color="auto"/>
              <w:bottom w:val="single" w:sz="4" w:space="0" w:color="auto"/>
            </w:tcBorders>
          </w:tcPr>
          <w:p w14:paraId="33E47D39" w14:textId="77777777" w:rsidR="008C4479" w:rsidRPr="00622FF3" w:rsidRDefault="008C4479" w:rsidP="008C4479">
            <w:pPr>
              <w:pStyle w:val="NoSpacing"/>
            </w:pPr>
          </w:p>
        </w:tc>
      </w:tr>
      <w:tr w:rsidR="008C4479" w:rsidRPr="00B64A59" w14:paraId="35B9036D"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4E044156" w14:textId="77777777" w:rsidR="008C4479" w:rsidRPr="00AC3A11" w:rsidRDefault="008C4479" w:rsidP="008C4479">
            <w:pPr>
              <w:rPr>
                <w:color w:val="000000"/>
              </w:rPr>
            </w:pPr>
            <w:r w:rsidRPr="00AC3A11">
              <w:rPr>
                <w:color w:val="000000"/>
              </w:rPr>
              <w:t>Percentage of information systems developed subjected to vulnerability assessment and patched accordingly</w:t>
            </w:r>
          </w:p>
        </w:tc>
        <w:tc>
          <w:tcPr>
            <w:tcW w:w="1543" w:type="dxa"/>
            <w:tcBorders>
              <w:top w:val="single" w:sz="4" w:space="0" w:color="auto"/>
              <w:left w:val="single" w:sz="4" w:space="0" w:color="auto"/>
              <w:bottom w:val="single" w:sz="4" w:space="0" w:color="auto"/>
              <w:right w:val="single" w:sz="4" w:space="0" w:color="auto"/>
            </w:tcBorders>
          </w:tcPr>
          <w:p w14:paraId="144B5D4E" w14:textId="77777777" w:rsidR="008C4479" w:rsidRPr="00AC3A11" w:rsidRDefault="008C4479" w:rsidP="008C4479">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4743BE" w14:textId="77777777" w:rsidR="008C4479" w:rsidRPr="00AC3A11" w:rsidRDefault="008C4479" w:rsidP="008C4479">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AFE91AA" w14:textId="77777777" w:rsidR="008C4479" w:rsidRPr="00AC3A11" w:rsidRDefault="008C4479" w:rsidP="008C4479"/>
        </w:tc>
        <w:tc>
          <w:tcPr>
            <w:tcW w:w="1276" w:type="dxa"/>
            <w:tcBorders>
              <w:top w:val="single" w:sz="4" w:space="0" w:color="auto"/>
              <w:left w:val="single" w:sz="4" w:space="0" w:color="auto"/>
              <w:bottom w:val="single" w:sz="4" w:space="0" w:color="auto"/>
              <w:right w:val="single" w:sz="4" w:space="0" w:color="auto"/>
            </w:tcBorders>
          </w:tcPr>
          <w:p w14:paraId="6326DEBA" w14:textId="77777777" w:rsidR="008C4479" w:rsidRPr="00AC3A11" w:rsidRDefault="008C4479" w:rsidP="008C4479"/>
        </w:tc>
        <w:tc>
          <w:tcPr>
            <w:tcW w:w="1984" w:type="dxa"/>
            <w:tcBorders>
              <w:top w:val="single" w:sz="4" w:space="0" w:color="auto"/>
              <w:left w:val="single" w:sz="4" w:space="0" w:color="auto"/>
              <w:bottom w:val="single" w:sz="4" w:space="0" w:color="auto"/>
            </w:tcBorders>
          </w:tcPr>
          <w:p w14:paraId="653B79B5" w14:textId="77777777" w:rsidR="008C4479" w:rsidRPr="00622FF3" w:rsidRDefault="008C4479" w:rsidP="008C4479">
            <w:pPr>
              <w:pStyle w:val="NoSpacing"/>
            </w:pPr>
          </w:p>
        </w:tc>
      </w:tr>
      <w:tr w:rsidR="008C4479" w:rsidRPr="00B64A59" w14:paraId="7AC2707E"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15C52AF1" w14:textId="77777777" w:rsidR="008C4479" w:rsidRPr="00AC3A11" w:rsidRDefault="008C4479" w:rsidP="008C4479">
            <w:pPr>
              <w:rPr>
                <w:color w:val="000000"/>
              </w:rPr>
            </w:pPr>
            <w:r w:rsidRPr="00AC3A11">
              <w:rPr>
                <w:color w:val="000000"/>
              </w:rPr>
              <w:t>Number of Information Systems with vulnerability assessment and patched accordingly</w:t>
            </w:r>
          </w:p>
        </w:tc>
        <w:tc>
          <w:tcPr>
            <w:tcW w:w="1543" w:type="dxa"/>
            <w:tcBorders>
              <w:top w:val="single" w:sz="4" w:space="0" w:color="auto"/>
              <w:left w:val="single" w:sz="4" w:space="0" w:color="auto"/>
              <w:bottom w:val="single" w:sz="4" w:space="0" w:color="auto"/>
              <w:right w:val="single" w:sz="4" w:space="0" w:color="auto"/>
            </w:tcBorders>
          </w:tcPr>
          <w:p w14:paraId="480D17D2" w14:textId="77777777" w:rsidR="008C4479" w:rsidRPr="00AC3A11" w:rsidRDefault="008C4479" w:rsidP="008C4479">
            <w:pPr>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57BCF0" w14:textId="77777777" w:rsidR="008C4479" w:rsidRPr="00AC3A11" w:rsidRDefault="008C4479" w:rsidP="008C4479">
            <w:pPr>
              <w:jc w:val="center"/>
              <w:rPr>
                <w:color w:val="000000"/>
              </w:rPr>
            </w:pPr>
            <w:r>
              <w:rPr>
                <w:color w:val="000000"/>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5F8215F" w14:textId="77777777" w:rsidR="008C4479" w:rsidRPr="00AC3A11" w:rsidRDefault="008C4479" w:rsidP="008C4479">
            <w:r>
              <w:t>100%</w:t>
            </w:r>
          </w:p>
        </w:tc>
        <w:tc>
          <w:tcPr>
            <w:tcW w:w="1276" w:type="dxa"/>
            <w:tcBorders>
              <w:top w:val="single" w:sz="4" w:space="0" w:color="auto"/>
              <w:left w:val="single" w:sz="4" w:space="0" w:color="auto"/>
              <w:bottom w:val="single" w:sz="4" w:space="0" w:color="auto"/>
              <w:right w:val="single" w:sz="4" w:space="0" w:color="auto"/>
            </w:tcBorders>
          </w:tcPr>
          <w:p w14:paraId="4B251FB7" w14:textId="77777777" w:rsidR="008C4479" w:rsidRPr="00AC3A11" w:rsidRDefault="008C4479" w:rsidP="008C4479">
            <w:r>
              <w:t>Full Target Achieved</w:t>
            </w:r>
          </w:p>
        </w:tc>
        <w:tc>
          <w:tcPr>
            <w:tcW w:w="1984" w:type="dxa"/>
            <w:tcBorders>
              <w:top w:val="single" w:sz="4" w:space="0" w:color="auto"/>
              <w:left w:val="single" w:sz="4" w:space="0" w:color="auto"/>
              <w:bottom w:val="single" w:sz="4" w:space="0" w:color="auto"/>
            </w:tcBorders>
          </w:tcPr>
          <w:p w14:paraId="6A3E8007" w14:textId="77777777" w:rsidR="008C4479" w:rsidRPr="00622FF3" w:rsidRDefault="008C4479" w:rsidP="008C4479">
            <w:pPr>
              <w:pStyle w:val="NoSpacing"/>
            </w:pPr>
          </w:p>
        </w:tc>
      </w:tr>
      <w:tr w:rsidR="008C4479" w:rsidRPr="00B64A59" w14:paraId="2A25450C"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10629DD1" w14:textId="77777777" w:rsidR="008C4479" w:rsidRPr="00AC3A11" w:rsidRDefault="008C4479" w:rsidP="008C4479">
            <w:pPr>
              <w:rPr>
                <w:color w:val="000000"/>
              </w:rPr>
            </w:pPr>
            <w:r w:rsidRPr="00AC3A11">
              <w:rPr>
                <w:color w:val="000000"/>
              </w:rPr>
              <w:t>Percentage of end points secured</w:t>
            </w:r>
          </w:p>
        </w:tc>
        <w:tc>
          <w:tcPr>
            <w:tcW w:w="1543" w:type="dxa"/>
            <w:tcBorders>
              <w:top w:val="single" w:sz="4" w:space="0" w:color="auto"/>
              <w:left w:val="single" w:sz="4" w:space="0" w:color="auto"/>
              <w:bottom w:val="single" w:sz="4" w:space="0" w:color="auto"/>
              <w:right w:val="single" w:sz="4" w:space="0" w:color="auto"/>
            </w:tcBorders>
          </w:tcPr>
          <w:p w14:paraId="324D2122" w14:textId="77777777" w:rsidR="008C4479" w:rsidRPr="00AC3A11" w:rsidRDefault="008C4479" w:rsidP="008C4479">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FCF6C2" w14:textId="77777777" w:rsidR="008C4479" w:rsidRPr="00AC3A11" w:rsidRDefault="008C4479" w:rsidP="008C4479">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A934F6A" w14:textId="77777777" w:rsidR="008C4479" w:rsidRPr="00AC3A11" w:rsidRDefault="008C4479" w:rsidP="008C4479"/>
        </w:tc>
        <w:tc>
          <w:tcPr>
            <w:tcW w:w="1276" w:type="dxa"/>
            <w:tcBorders>
              <w:top w:val="single" w:sz="4" w:space="0" w:color="auto"/>
              <w:left w:val="single" w:sz="4" w:space="0" w:color="auto"/>
              <w:bottom w:val="single" w:sz="4" w:space="0" w:color="auto"/>
              <w:right w:val="single" w:sz="4" w:space="0" w:color="auto"/>
            </w:tcBorders>
          </w:tcPr>
          <w:p w14:paraId="705A4E4D" w14:textId="77777777" w:rsidR="008C4479" w:rsidRPr="00AC3A11" w:rsidRDefault="008C4479" w:rsidP="008C4479"/>
        </w:tc>
        <w:tc>
          <w:tcPr>
            <w:tcW w:w="1984" w:type="dxa"/>
            <w:tcBorders>
              <w:top w:val="single" w:sz="4" w:space="0" w:color="auto"/>
              <w:left w:val="single" w:sz="4" w:space="0" w:color="auto"/>
              <w:bottom w:val="single" w:sz="4" w:space="0" w:color="auto"/>
            </w:tcBorders>
          </w:tcPr>
          <w:p w14:paraId="537AD409" w14:textId="77777777" w:rsidR="008C4479" w:rsidRPr="00622FF3" w:rsidRDefault="008C4479" w:rsidP="008C4479">
            <w:pPr>
              <w:pStyle w:val="NoSpacing"/>
            </w:pPr>
          </w:p>
        </w:tc>
      </w:tr>
      <w:tr w:rsidR="008C4479" w:rsidRPr="00B64A59" w14:paraId="6503D1C4"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72D6A6C9" w14:textId="77777777" w:rsidR="008C4479" w:rsidRPr="00AC3A11" w:rsidRDefault="008C4479" w:rsidP="008C4479">
            <w:pPr>
              <w:rPr>
                <w:color w:val="000000"/>
              </w:rPr>
            </w:pPr>
            <w:r w:rsidRPr="00AC3A11">
              <w:rPr>
                <w:color w:val="000000"/>
              </w:rPr>
              <w:t>Number of endpoints protected by enterprise antivirus/antimalware</w:t>
            </w:r>
          </w:p>
        </w:tc>
        <w:tc>
          <w:tcPr>
            <w:tcW w:w="1543" w:type="dxa"/>
            <w:tcBorders>
              <w:top w:val="single" w:sz="4" w:space="0" w:color="auto"/>
              <w:left w:val="single" w:sz="4" w:space="0" w:color="auto"/>
              <w:bottom w:val="single" w:sz="4" w:space="0" w:color="auto"/>
              <w:right w:val="single" w:sz="4" w:space="0" w:color="auto"/>
            </w:tcBorders>
          </w:tcPr>
          <w:p w14:paraId="2FC96D86" w14:textId="77777777" w:rsidR="008C4479" w:rsidRPr="00AC3A11" w:rsidRDefault="008C4479" w:rsidP="008C4479">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7B74EF" w14:textId="77777777" w:rsidR="008C4479" w:rsidRPr="00AC3A11" w:rsidRDefault="008C4479" w:rsidP="008C4479">
            <w:pPr>
              <w:jc w:val="center"/>
              <w:rPr>
                <w:color w:val="000000"/>
              </w:rPr>
            </w:pPr>
            <w:r>
              <w:rPr>
                <w:color w:val="000000"/>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441EB0F" w14:textId="77777777" w:rsidR="008C4479" w:rsidRPr="00AC3A11" w:rsidRDefault="0020589C" w:rsidP="008C4479">
            <w:r>
              <w:t>0</w:t>
            </w:r>
          </w:p>
        </w:tc>
        <w:tc>
          <w:tcPr>
            <w:tcW w:w="1276" w:type="dxa"/>
            <w:tcBorders>
              <w:top w:val="single" w:sz="4" w:space="0" w:color="auto"/>
              <w:left w:val="single" w:sz="4" w:space="0" w:color="auto"/>
              <w:bottom w:val="single" w:sz="4" w:space="0" w:color="auto"/>
              <w:right w:val="single" w:sz="4" w:space="0" w:color="auto"/>
            </w:tcBorders>
          </w:tcPr>
          <w:p w14:paraId="4FE3906A" w14:textId="77777777" w:rsidR="008C4479" w:rsidRPr="00AC3A11" w:rsidRDefault="008C4479" w:rsidP="008C4479">
            <w:r>
              <w:t>Full Target Achieved</w:t>
            </w:r>
          </w:p>
        </w:tc>
        <w:tc>
          <w:tcPr>
            <w:tcW w:w="1984" w:type="dxa"/>
            <w:tcBorders>
              <w:top w:val="single" w:sz="4" w:space="0" w:color="auto"/>
              <w:left w:val="single" w:sz="4" w:space="0" w:color="auto"/>
              <w:bottom w:val="single" w:sz="4" w:space="0" w:color="auto"/>
            </w:tcBorders>
          </w:tcPr>
          <w:p w14:paraId="682816E9" w14:textId="77777777" w:rsidR="008C4479" w:rsidRPr="00622FF3" w:rsidRDefault="008C4479" w:rsidP="008C4479">
            <w:pPr>
              <w:pStyle w:val="NoSpacing"/>
            </w:pPr>
          </w:p>
        </w:tc>
      </w:tr>
      <w:tr w:rsidR="008C4479" w:rsidRPr="00B64A59" w14:paraId="25079BC9"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5E934656" w14:textId="77777777" w:rsidR="008C4479" w:rsidRPr="00AC3A11" w:rsidRDefault="008C4479" w:rsidP="008C4479">
            <w:pPr>
              <w:rPr>
                <w:color w:val="000000"/>
              </w:rPr>
            </w:pPr>
            <w:r w:rsidRPr="00AC3A11">
              <w:rPr>
                <w:color w:val="000000"/>
              </w:rPr>
              <w:t>Number of endpoint licenses</w:t>
            </w:r>
          </w:p>
        </w:tc>
        <w:tc>
          <w:tcPr>
            <w:tcW w:w="1543" w:type="dxa"/>
            <w:tcBorders>
              <w:top w:val="single" w:sz="4" w:space="0" w:color="auto"/>
              <w:left w:val="single" w:sz="4" w:space="0" w:color="auto"/>
              <w:bottom w:val="single" w:sz="4" w:space="0" w:color="auto"/>
              <w:right w:val="single" w:sz="4" w:space="0" w:color="auto"/>
            </w:tcBorders>
          </w:tcPr>
          <w:p w14:paraId="52FE2DED" w14:textId="77777777" w:rsidR="008C4479" w:rsidRPr="00AC3A11" w:rsidRDefault="008C4479" w:rsidP="008C4479">
            <w:pPr>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34D162" w14:textId="77777777" w:rsidR="008C4479" w:rsidRPr="00AC3A11" w:rsidRDefault="008C4479" w:rsidP="008C4479">
            <w:pPr>
              <w:jc w:val="center"/>
              <w:rPr>
                <w:color w:val="000000"/>
              </w:rPr>
            </w:pPr>
            <w:r>
              <w:rPr>
                <w:color w:val="000000"/>
              </w:rPr>
              <w:t>323.95%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1519936" w14:textId="77777777" w:rsidR="008C4479" w:rsidRPr="00AC3A11" w:rsidRDefault="008C4479" w:rsidP="008C4479">
            <w:r>
              <w:t>+223.95%</w:t>
            </w:r>
          </w:p>
        </w:tc>
        <w:tc>
          <w:tcPr>
            <w:tcW w:w="1276" w:type="dxa"/>
            <w:tcBorders>
              <w:top w:val="single" w:sz="4" w:space="0" w:color="auto"/>
              <w:left w:val="single" w:sz="4" w:space="0" w:color="auto"/>
              <w:bottom w:val="single" w:sz="4" w:space="0" w:color="auto"/>
              <w:right w:val="single" w:sz="4" w:space="0" w:color="auto"/>
            </w:tcBorders>
          </w:tcPr>
          <w:p w14:paraId="026F62CB" w14:textId="77777777" w:rsidR="008C4479" w:rsidRDefault="008C4479" w:rsidP="008C4479">
            <w:r w:rsidRPr="00861ECD">
              <w:t>Full Target Achieved</w:t>
            </w:r>
          </w:p>
        </w:tc>
        <w:tc>
          <w:tcPr>
            <w:tcW w:w="1984" w:type="dxa"/>
            <w:tcBorders>
              <w:top w:val="single" w:sz="4" w:space="0" w:color="auto"/>
              <w:left w:val="single" w:sz="4" w:space="0" w:color="auto"/>
              <w:bottom w:val="single" w:sz="4" w:space="0" w:color="auto"/>
            </w:tcBorders>
          </w:tcPr>
          <w:p w14:paraId="062DC5BD" w14:textId="77777777" w:rsidR="008C4479" w:rsidRPr="00622FF3" w:rsidRDefault="008C4479" w:rsidP="008C4479">
            <w:pPr>
              <w:pStyle w:val="NoSpacing"/>
            </w:pPr>
          </w:p>
        </w:tc>
      </w:tr>
      <w:tr w:rsidR="008C4479" w:rsidRPr="00B64A59" w14:paraId="090D5136"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F03A5D" w14:textId="77777777" w:rsidR="008C4479" w:rsidRPr="00AC3A11" w:rsidRDefault="008C4479" w:rsidP="008C4479">
            <w:pPr>
              <w:rPr>
                <w:bCs/>
                <w:color w:val="000000"/>
              </w:rPr>
            </w:pPr>
            <w:r w:rsidRPr="00AC3A11">
              <w:rPr>
                <w:bCs/>
                <w:color w:val="000000"/>
              </w:rPr>
              <w:lastRenderedPageBreak/>
              <w:t>6.20. Responsive ICT support services</w:t>
            </w:r>
          </w:p>
        </w:tc>
        <w:tc>
          <w:tcPr>
            <w:tcW w:w="1543" w:type="dxa"/>
            <w:tcBorders>
              <w:top w:val="single" w:sz="4" w:space="0" w:color="auto"/>
              <w:left w:val="single" w:sz="4" w:space="0" w:color="auto"/>
              <w:bottom w:val="single" w:sz="4" w:space="0" w:color="auto"/>
              <w:right w:val="single" w:sz="4" w:space="0" w:color="auto"/>
            </w:tcBorders>
          </w:tcPr>
          <w:p w14:paraId="2DFBCFE6" w14:textId="77777777" w:rsidR="008C4479" w:rsidRPr="00AC3A11" w:rsidRDefault="008C4479" w:rsidP="008C4479">
            <w:pPr>
              <w:jc w:val="center"/>
            </w:pPr>
            <w:r>
              <w:t>238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637F0A" w14:textId="77777777" w:rsidR="008C4479" w:rsidRPr="00AC3A11" w:rsidRDefault="008C4479" w:rsidP="008C4479">
            <w:pPr>
              <w:jc w:val="center"/>
              <w:rPr>
                <w:color w:val="000000"/>
              </w:rPr>
            </w:pPr>
            <w:r>
              <w:rPr>
                <w:color w:val="000000"/>
              </w:rPr>
              <w:t>771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40D619B" w14:textId="77777777" w:rsidR="008C4479" w:rsidRPr="00AC3A11" w:rsidRDefault="008C4479" w:rsidP="008C4479">
            <w:r>
              <w:t>-553</w:t>
            </w:r>
          </w:p>
        </w:tc>
        <w:tc>
          <w:tcPr>
            <w:tcW w:w="1276" w:type="dxa"/>
            <w:tcBorders>
              <w:top w:val="single" w:sz="4" w:space="0" w:color="auto"/>
              <w:left w:val="single" w:sz="4" w:space="0" w:color="auto"/>
              <w:bottom w:val="single" w:sz="4" w:space="0" w:color="auto"/>
              <w:right w:val="single" w:sz="4" w:space="0" w:color="auto"/>
            </w:tcBorders>
          </w:tcPr>
          <w:p w14:paraId="40667DFE" w14:textId="77777777" w:rsidR="008C4479" w:rsidRDefault="008C4479" w:rsidP="008C4479">
            <w:r w:rsidRPr="00861ECD">
              <w:t>Full Target Achieved</w:t>
            </w:r>
          </w:p>
        </w:tc>
        <w:tc>
          <w:tcPr>
            <w:tcW w:w="1984" w:type="dxa"/>
            <w:tcBorders>
              <w:top w:val="single" w:sz="4" w:space="0" w:color="auto"/>
              <w:left w:val="single" w:sz="4" w:space="0" w:color="auto"/>
              <w:bottom w:val="single" w:sz="4" w:space="0" w:color="auto"/>
            </w:tcBorders>
          </w:tcPr>
          <w:p w14:paraId="36FC531D" w14:textId="77777777" w:rsidR="008C4479" w:rsidRPr="00622FF3" w:rsidRDefault="008C4479" w:rsidP="008C4479">
            <w:pPr>
              <w:pStyle w:val="NoSpacing"/>
            </w:pPr>
          </w:p>
        </w:tc>
      </w:tr>
      <w:tr w:rsidR="008C4479" w:rsidRPr="00B64A59" w14:paraId="50F36188"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5EF137A4" w14:textId="77777777" w:rsidR="008C4479" w:rsidRPr="00AC3A11" w:rsidRDefault="008C4479" w:rsidP="008C4479">
            <w:pPr>
              <w:rPr>
                <w:color w:val="000000"/>
              </w:rPr>
            </w:pPr>
            <w:r w:rsidRPr="00AC3A11">
              <w:rPr>
                <w:color w:val="000000"/>
              </w:rPr>
              <w:t>Percentage of Technical Assistance (TA) requests responded and resolved within the set Service Level Agreement (SLA)/timeline</w:t>
            </w:r>
          </w:p>
        </w:tc>
        <w:tc>
          <w:tcPr>
            <w:tcW w:w="1543" w:type="dxa"/>
            <w:tcBorders>
              <w:top w:val="single" w:sz="4" w:space="0" w:color="auto"/>
              <w:left w:val="single" w:sz="4" w:space="0" w:color="auto"/>
              <w:bottom w:val="single" w:sz="4" w:space="0" w:color="auto"/>
              <w:right w:val="single" w:sz="4" w:space="0" w:color="auto"/>
            </w:tcBorders>
          </w:tcPr>
          <w:p w14:paraId="66F0832A" w14:textId="77777777" w:rsidR="008C4479" w:rsidRPr="00AC3A11" w:rsidRDefault="008C4479" w:rsidP="008C4479">
            <w:pPr>
              <w:jc w:val="center"/>
            </w:pPr>
            <w:r>
              <w:t>238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E4D460" w14:textId="77777777" w:rsidR="008C4479" w:rsidRPr="00AC3A11" w:rsidRDefault="008C4479" w:rsidP="008C4479">
            <w:pPr>
              <w:jc w:val="center"/>
              <w:rPr>
                <w:color w:val="000000"/>
              </w:rPr>
            </w:pPr>
            <w:r>
              <w:rPr>
                <w:color w:val="000000"/>
              </w:rPr>
              <w:t>238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CB432DA" w14:textId="77777777" w:rsidR="008C4479" w:rsidRPr="00AC3A11" w:rsidRDefault="0020589C" w:rsidP="008C4479">
            <w:r>
              <w:t>0</w:t>
            </w:r>
          </w:p>
        </w:tc>
        <w:tc>
          <w:tcPr>
            <w:tcW w:w="1276" w:type="dxa"/>
            <w:tcBorders>
              <w:top w:val="single" w:sz="4" w:space="0" w:color="auto"/>
              <w:left w:val="single" w:sz="4" w:space="0" w:color="auto"/>
              <w:bottom w:val="single" w:sz="4" w:space="0" w:color="auto"/>
              <w:right w:val="single" w:sz="4" w:space="0" w:color="auto"/>
            </w:tcBorders>
          </w:tcPr>
          <w:p w14:paraId="580FB614" w14:textId="77777777" w:rsidR="008C4479" w:rsidRDefault="008C4479" w:rsidP="008C4479">
            <w:r w:rsidRPr="00861ECD">
              <w:t>Full Target Achieved</w:t>
            </w:r>
          </w:p>
        </w:tc>
        <w:tc>
          <w:tcPr>
            <w:tcW w:w="1984" w:type="dxa"/>
            <w:tcBorders>
              <w:top w:val="single" w:sz="4" w:space="0" w:color="auto"/>
              <w:left w:val="single" w:sz="4" w:space="0" w:color="auto"/>
              <w:bottom w:val="single" w:sz="4" w:space="0" w:color="auto"/>
            </w:tcBorders>
          </w:tcPr>
          <w:p w14:paraId="6DC8F1DB" w14:textId="77777777" w:rsidR="008C4479" w:rsidRPr="00622FF3" w:rsidRDefault="008C4479" w:rsidP="008C4479">
            <w:pPr>
              <w:pStyle w:val="NoSpacing"/>
            </w:pPr>
          </w:p>
        </w:tc>
      </w:tr>
      <w:tr w:rsidR="008C4479" w:rsidRPr="00B64A59" w14:paraId="0DE91E8F"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auto"/>
          </w:tcPr>
          <w:p w14:paraId="23F18BBB" w14:textId="77777777" w:rsidR="008C4479" w:rsidRPr="00AC3A11" w:rsidRDefault="008C4479" w:rsidP="008C4479">
            <w:pPr>
              <w:rPr>
                <w:color w:val="000000"/>
              </w:rPr>
            </w:pPr>
            <w:r w:rsidRPr="00AC3A11">
              <w:rPr>
                <w:color w:val="000000"/>
              </w:rPr>
              <w:t>Total Percentage of TA responded and resolved within SLA of All</w:t>
            </w:r>
            <w:r>
              <w:rPr>
                <w:color w:val="000000"/>
              </w:rPr>
              <w:t>-</w:t>
            </w:r>
            <w:r w:rsidRPr="00AC3A11">
              <w:rPr>
                <w:color w:val="000000"/>
              </w:rPr>
              <w:t>Division</w:t>
            </w:r>
          </w:p>
        </w:tc>
        <w:tc>
          <w:tcPr>
            <w:tcW w:w="1543" w:type="dxa"/>
            <w:tcBorders>
              <w:top w:val="single" w:sz="4" w:space="0" w:color="auto"/>
              <w:left w:val="single" w:sz="4" w:space="0" w:color="auto"/>
              <w:bottom w:val="single" w:sz="4" w:space="0" w:color="auto"/>
              <w:right w:val="single" w:sz="4" w:space="0" w:color="auto"/>
            </w:tcBorders>
          </w:tcPr>
          <w:p w14:paraId="048A38F0" w14:textId="77777777" w:rsidR="008C4479" w:rsidRPr="00AC3A11" w:rsidRDefault="008C4479" w:rsidP="008C4479">
            <w:pPr>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B704E9" w14:textId="77777777" w:rsidR="008C4479" w:rsidRPr="00AC3A11" w:rsidRDefault="008C4479" w:rsidP="008C4479">
            <w:pPr>
              <w:jc w:val="center"/>
              <w:rPr>
                <w:color w:val="000000"/>
              </w:rPr>
            </w:pPr>
            <w:r>
              <w:rPr>
                <w:color w:val="000000"/>
              </w:rPr>
              <w:t>95.33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944418D" w14:textId="77777777" w:rsidR="008C4479" w:rsidRPr="00AC3A11" w:rsidRDefault="0020589C" w:rsidP="008C4479">
            <w:r>
              <w:t>-</w:t>
            </w:r>
            <w:r w:rsidR="008F3E54">
              <w:t>4.67</w:t>
            </w:r>
          </w:p>
        </w:tc>
        <w:tc>
          <w:tcPr>
            <w:tcW w:w="1276" w:type="dxa"/>
            <w:tcBorders>
              <w:top w:val="single" w:sz="4" w:space="0" w:color="auto"/>
              <w:left w:val="single" w:sz="4" w:space="0" w:color="auto"/>
              <w:bottom w:val="single" w:sz="4" w:space="0" w:color="auto"/>
              <w:right w:val="single" w:sz="4" w:space="0" w:color="auto"/>
            </w:tcBorders>
          </w:tcPr>
          <w:p w14:paraId="6A938F11" w14:textId="77777777" w:rsidR="008C4479" w:rsidRPr="00AC3A11" w:rsidRDefault="008F3E54" w:rsidP="008C4479">
            <w:r>
              <w:t>Minor Deviation</w:t>
            </w:r>
          </w:p>
        </w:tc>
        <w:tc>
          <w:tcPr>
            <w:tcW w:w="1984" w:type="dxa"/>
            <w:tcBorders>
              <w:top w:val="single" w:sz="4" w:space="0" w:color="auto"/>
              <w:left w:val="single" w:sz="4" w:space="0" w:color="auto"/>
              <w:bottom w:val="single" w:sz="4" w:space="0" w:color="auto"/>
            </w:tcBorders>
          </w:tcPr>
          <w:p w14:paraId="39E47F01" w14:textId="77777777" w:rsidR="008C4479" w:rsidRPr="00622FF3" w:rsidRDefault="008C4479" w:rsidP="008C4479">
            <w:pPr>
              <w:pStyle w:val="NoSpacing"/>
            </w:pPr>
          </w:p>
        </w:tc>
      </w:tr>
      <w:tr w:rsidR="008C4479" w:rsidRPr="00B64A59" w14:paraId="36B9DBD8"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43461B95" w14:textId="77777777" w:rsidR="008C4479" w:rsidRPr="00AC3A11" w:rsidRDefault="008C4479" w:rsidP="008C4479">
            <w:pPr>
              <w:rPr>
                <w:color w:val="000000"/>
              </w:rPr>
            </w:pPr>
            <w:r w:rsidRPr="00AC3A11">
              <w:rPr>
                <w:color w:val="000000"/>
              </w:rPr>
              <w:t>Total Number of TA received</w:t>
            </w:r>
          </w:p>
        </w:tc>
        <w:tc>
          <w:tcPr>
            <w:tcW w:w="1543" w:type="dxa"/>
            <w:tcBorders>
              <w:top w:val="single" w:sz="4" w:space="0" w:color="auto"/>
              <w:left w:val="single" w:sz="4" w:space="0" w:color="auto"/>
              <w:bottom w:val="single" w:sz="4" w:space="0" w:color="auto"/>
              <w:right w:val="single" w:sz="4" w:space="0" w:color="auto"/>
            </w:tcBorders>
          </w:tcPr>
          <w:p w14:paraId="739CEF7A" w14:textId="77777777" w:rsidR="008C4479" w:rsidRPr="00AC3A11" w:rsidRDefault="008C4479" w:rsidP="008C4479">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9C1F0B" w14:textId="77777777" w:rsidR="008C4479" w:rsidRPr="00AC3A11" w:rsidRDefault="008C4479" w:rsidP="008C4479">
            <w:pPr>
              <w:jc w:val="center"/>
              <w:rPr>
                <w:color w:val="000000"/>
              </w:rPr>
            </w:pPr>
            <w:r>
              <w:rPr>
                <w:color w:val="000000"/>
              </w:rPr>
              <w:t>364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E5FCF6D" w14:textId="77777777" w:rsidR="008C4479" w:rsidRPr="00AC3A11" w:rsidRDefault="008F3E54" w:rsidP="008C4479">
            <w:r>
              <w:t>0</w:t>
            </w:r>
          </w:p>
        </w:tc>
        <w:tc>
          <w:tcPr>
            <w:tcW w:w="1276" w:type="dxa"/>
            <w:tcBorders>
              <w:top w:val="single" w:sz="4" w:space="0" w:color="auto"/>
              <w:left w:val="single" w:sz="4" w:space="0" w:color="auto"/>
              <w:bottom w:val="single" w:sz="4" w:space="0" w:color="auto"/>
              <w:right w:val="single" w:sz="4" w:space="0" w:color="auto"/>
            </w:tcBorders>
          </w:tcPr>
          <w:p w14:paraId="0CA547B1" w14:textId="77777777" w:rsidR="008C4479" w:rsidRPr="00AC3A11" w:rsidRDefault="008F3E54" w:rsidP="008C4479">
            <w:r w:rsidRPr="00861ECD">
              <w:t>Full Target Achieved</w:t>
            </w:r>
          </w:p>
        </w:tc>
        <w:tc>
          <w:tcPr>
            <w:tcW w:w="1984" w:type="dxa"/>
            <w:tcBorders>
              <w:top w:val="single" w:sz="4" w:space="0" w:color="auto"/>
              <w:left w:val="single" w:sz="4" w:space="0" w:color="auto"/>
              <w:bottom w:val="single" w:sz="4" w:space="0" w:color="auto"/>
            </w:tcBorders>
          </w:tcPr>
          <w:p w14:paraId="3BBC0287" w14:textId="77777777" w:rsidR="008C4479" w:rsidRPr="00622FF3" w:rsidRDefault="008C4479" w:rsidP="008C4479">
            <w:pPr>
              <w:pStyle w:val="NoSpacing"/>
            </w:pPr>
          </w:p>
        </w:tc>
      </w:tr>
      <w:tr w:rsidR="008C4479" w:rsidRPr="00B64A59" w14:paraId="0A9DBFA5"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1333CF67" w14:textId="77777777" w:rsidR="008C4479" w:rsidRPr="00AC3A11" w:rsidRDefault="008C4479" w:rsidP="008C4479">
            <w:pPr>
              <w:rPr>
                <w:color w:val="000000"/>
              </w:rPr>
            </w:pPr>
            <w:r w:rsidRPr="00AC3A11">
              <w:rPr>
                <w:color w:val="000000"/>
              </w:rPr>
              <w:t>Total Number of TA responded and resolved within SLA</w:t>
            </w:r>
          </w:p>
        </w:tc>
        <w:tc>
          <w:tcPr>
            <w:tcW w:w="1543" w:type="dxa"/>
            <w:tcBorders>
              <w:top w:val="single" w:sz="4" w:space="0" w:color="auto"/>
              <w:left w:val="single" w:sz="4" w:space="0" w:color="auto"/>
              <w:bottom w:val="single" w:sz="4" w:space="0" w:color="auto"/>
              <w:right w:val="single" w:sz="4" w:space="0" w:color="auto"/>
            </w:tcBorders>
          </w:tcPr>
          <w:p w14:paraId="45A86567" w14:textId="77777777" w:rsidR="008C4479" w:rsidRPr="00AC3A11" w:rsidRDefault="008C4479" w:rsidP="008C4479">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470917" w14:textId="77777777" w:rsidR="008C4479" w:rsidRPr="00AC3A11" w:rsidRDefault="008C4479" w:rsidP="008C4479">
            <w:pPr>
              <w:jc w:val="center"/>
              <w:rPr>
                <w:color w:val="000000"/>
              </w:rPr>
            </w:pPr>
            <w:r>
              <w:rPr>
                <w:color w:val="000000"/>
              </w:rPr>
              <w:t>347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834AE0C" w14:textId="77777777" w:rsidR="008C4479" w:rsidRPr="00AC3A11" w:rsidRDefault="008F3E54" w:rsidP="008C4479">
            <w:r>
              <w:t>0</w:t>
            </w:r>
          </w:p>
        </w:tc>
        <w:tc>
          <w:tcPr>
            <w:tcW w:w="1276" w:type="dxa"/>
            <w:tcBorders>
              <w:top w:val="single" w:sz="4" w:space="0" w:color="auto"/>
              <w:left w:val="single" w:sz="4" w:space="0" w:color="auto"/>
              <w:bottom w:val="single" w:sz="4" w:space="0" w:color="auto"/>
              <w:right w:val="single" w:sz="4" w:space="0" w:color="auto"/>
            </w:tcBorders>
          </w:tcPr>
          <w:p w14:paraId="6805AB0B" w14:textId="77777777" w:rsidR="008C4479" w:rsidRPr="00AC3A11" w:rsidRDefault="008F3E54" w:rsidP="008C4479">
            <w:r w:rsidRPr="00861ECD">
              <w:t>Full Target Achieved</w:t>
            </w:r>
          </w:p>
        </w:tc>
        <w:tc>
          <w:tcPr>
            <w:tcW w:w="1984" w:type="dxa"/>
            <w:tcBorders>
              <w:top w:val="single" w:sz="4" w:space="0" w:color="auto"/>
              <w:left w:val="single" w:sz="4" w:space="0" w:color="auto"/>
              <w:bottom w:val="single" w:sz="4" w:space="0" w:color="auto"/>
            </w:tcBorders>
          </w:tcPr>
          <w:p w14:paraId="3C7FB70A" w14:textId="77777777" w:rsidR="008C4479" w:rsidRPr="00622FF3" w:rsidRDefault="008C4479" w:rsidP="008C4479">
            <w:pPr>
              <w:pStyle w:val="NoSpacing"/>
            </w:pPr>
          </w:p>
        </w:tc>
      </w:tr>
      <w:tr w:rsidR="008C4479" w:rsidRPr="00B64A59" w14:paraId="07EE29B6"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60CDDB94" w14:textId="77777777" w:rsidR="008C4479" w:rsidRPr="00AC3A11" w:rsidRDefault="008C4479" w:rsidP="008C4479">
            <w:pPr>
              <w:rPr>
                <w:color w:val="000000"/>
              </w:rPr>
            </w:pPr>
            <w:r w:rsidRPr="00AC3A11">
              <w:rPr>
                <w:color w:val="000000"/>
              </w:rPr>
              <w:t>Number of Learning and Development Interventions on ICT Service Management conducted</w:t>
            </w:r>
          </w:p>
        </w:tc>
        <w:tc>
          <w:tcPr>
            <w:tcW w:w="1543" w:type="dxa"/>
            <w:tcBorders>
              <w:top w:val="single" w:sz="4" w:space="0" w:color="auto"/>
              <w:left w:val="single" w:sz="4" w:space="0" w:color="auto"/>
              <w:bottom w:val="single" w:sz="4" w:space="0" w:color="auto"/>
              <w:right w:val="single" w:sz="4" w:space="0" w:color="auto"/>
            </w:tcBorders>
          </w:tcPr>
          <w:p w14:paraId="546DB746" w14:textId="77777777" w:rsidR="008C4479" w:rsidRPr="00AC3A11" w:rsidRDefault="008C4479" w:rsidP="008C4479">
            <w:pPr>
              <w:jc w:val="center"/>
            </w:pPr>
            <w: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1CD199" w14:textId="77777777" w:rsidR="008C4479" w:rsidRPr="00AC3A11" w:rsidRDefault="008C4479" w:rsidP="008C4479">
            <w:pPr>
              <w:jc w:val="center"/>
              <w:rPr>
                <w:color w:val="000000"/>
              </w:rPr>
            </w:pPr>
            <w:r>
              <w:rPr>
                <w:color w:val="00000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CA193E7" w14:textId="77777777" w:rsidR="008C4479" w:rsidRPr="00AC3A11" w:rsidRDefault="008F3E54" w:rsidP="008C4479">
            <w:r>
              <w:t>0</w:t>
            </w:r>
          </w:p>
        </w:tc>
        <w:tc>
          <w:tcPr>
            <w:tcW w:w="1276" w:type="dxa"/>
            <w:tcBorders>
              <w:top w:val="single" w:sz="4" w:space="0" w:color="auto"/>
              <w:left w:val="single" w:sz="4" w:space="0" w:color="auto"/>
              <w:bottom w:val="single" w:sz="4" w:space="0" w:color="auto"/>
              <w:right w:val="single" w:sz="4" w:space="0" w:color="auto"/>
            </w:tcBorders>
          </w:tcPr>
          <w:p w14:paraId="1DB3DD09" w14:textId="77777777" w:rsidR="008C4479" w:rsidRPr="00AC3A11" w:rsidRDefault="008F3E54" w:rsidP="008C4479">
            <w:r w:rsidRPr="00861ECD">
              <w:t>Full Target Achieved</w:t>
            </w:r>
          </w:p>
        </w:tc>
        <w:tc>
          <w:tcPr>
            <w:tcW w:w="1984" w:type="dxa"/>
            <w:tcBorders>
              <w:top w:val="single" w:sz="4" w:space="0" w:color="auto"/>
              <w:left w:val="single" w:sz="4" w:space="0" w:color="auto"/>
              <w:bottom w:val="single" w:sz="4" w:space="0" w:color="auto"/>
            </w:tcBorders>
          </w:tcPr>
          <w:p w14:paraId="18336D20" w14:textId="77777777" w:rsidR="008C4479" w:rsidRPr="00622FF3" w:rsidRDefault="008C4479" w:rsidP="008C4479">
            <w:pPr>
              <w:pStyle w:val="NoSpacing"/>
            </w:pPr>
          </w:p>
        </w:tc>
      </w:tr>
      <w:tr w:rsidR="008C4479" w:rsidRPr="00B64A59" w14:paraId="184ECA58" w14:textId="77777777" w:rsidTr="00023229">
        <w:trPr>
          <w:trHeight w:val="189"/>
        </w:trPr>
        <w:tc>
          <w:tcPr>
            <w:tcW w:w="2280" w:type="dxa"/>
            <w:tcBorders>
              <w:top w:val="single" w:sz="4" w:space="0" w:color="auto"/>
              <w:left w:val="single" w:sz="4" w:space="0" w:color="000000"/>
              <w:bottom w:val="single" w:sz="4" w:space="0" w:color="000000"/>
              <w:right w:val="single" w:sz="4" w:space="0" w:color="000000"/>
            </w:tcBorders>
            <w:shd w:val="clear" w:color="auto" w:fill="auto"/>
          </w:tcPr>
          <w:p w14:paraId="56C2F0B9" w14:textId="77777777" w:rsidR="008C4479" w:rsidRPr="00AC3A11" w:rsidRDefault="008C4479" w:rsidP="008C4479">
            <w:pPr>
              <w:rPr>
                <w:color w:val="000000"/>
              </w:rPr>
            </w:pPr>
            <w:r w:rsidRPr="00AC3A11">
              <w:rPr>
                <w:color w:val="000000"/>
              </w:rPr>
              <w:t>Number of Users Trained on ICT applications, websites, solutions, tools</w:t>
            </w:r>
            <w:r>
              <w:rPr>
                <w:color w:val="000000"/>
              </w:rPr>
              <w:t>,</w:t>
            </w:r>
            <w:r w:rsidRPr="00AC3A11">
              <w:rPr>
                <w:color w:val="000000"/>
              </w:rPr>
              <w:t xml:space="preserve"> and products</w:t>
            </w:r>
          </w:p>
        </w:tc>
        <w:tc>
          <w:tcPr>
            <w:tcW w:w="1543" w:type="dxa"/>
            <w:tcBorders>
              <w:top w:val="single" w:sz="4" w:space="0" w:color="auto"/>
              <w:left w:val="single" w:sz="4" w:space="0" w:color="auto"/>
              <w:bottom w:val="single" w:sz="4" w:space="0" w:color="auto"/>
              <w:right w:val="single" w:sz="4" w:space="0" w:color="auto"/>
            </w:tcBorders>
          </w:tcPr>
          <w:p w14:paraId="0F99DF99" w14:textId="77777777" w:rsidR="008C4479" w:rsidRPr="00AC3A11" w:rsidRDefault="008C4479" w:rsidP="008C4479">
            <w:pPr>
              <w:jc w:val="center"/>
            </w:pPr>
            <w:r>
              <w:t>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23A3C3" w14:textId="77777777" w:rsidR="008C4479" w:rsidRPr="00AC3A11" w:rsidRDefault="008C4479" w:rsidP="008C4479">
            <w:pPr>
              <w:jc w:val="center"/>
              <w:rPr>
                <w:color w:val="000000"/>
              </w:rPr>
            </w:pPr>
            <w:r>
              <w:rPr>
                <w:color w:val="000000"/>
              </w:rPr>
              <w:t>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B4E25A3" w14:textId="77777777" w:rsidR="008C4479" w:rsidRPr="00AC3A11" w:rsidRDefault="008F3E54" w:rsidP="008C4479">
            <w:r>
              <w:t>-10</w:t>
            </w:r>
          </w:p>
        </w:tc>
        <w:tc>
          <w:tcPr>
            <w:tcW w:w="1276" w:type="dxa"/>
            <w:tcBorders>
              <w:top w:val="single" w:sz="4" w:space="0" w:color="auto"/>
              <w:left w:val="single" w:sz="4" w:space="0" w:color="auto"/>
              <w:bottom w:val="single" w:sz="4" w:space="0" w:color="auto"/>
              <w:right w:val="single" w:sz="4" w:space="0" w:color="auto"/>
            </w:tcBorders>
          </w:tcPr>
          <w:p w14:paraId="0006C818" w14:textId="77777777" w:rsidR="008C4479" w:rsidRPr="00AC3A11" w:rsidRDefault="008F3E54" w:rsidP="008C4479">
            <w:r>
              <w:t>Major Deviation</w:t>
            </w:r>
          </w:p>
        </w:tc>
        <w:tc>
          <w:tcPr>
            <w:tcW w:w="1984" w:type="dxa"/>
            <w:tcBorders>
              <w:top w:val="single" w:sz="4" w:space="0" w:color="auto"/>
              <w:left w:val="single" w:sz="4" w:space="0" w:color="auto"/>
              <w:bottom w:val="single" w:sz="4" w:space="0" w:color="auto"/>
            </w:tcBorders>
          </w:tcPr>
          <w:p w14:paraId="1F36E729" w14:textId="77777777" w:rsidR="008C4479" w:rsidRPr="00622FF3" w:rsidRDefault="008C4479" w:rsidP="008C4479">
            <w:pPr>
              <w:pStyle w:val="NoSpacing"/>
            </w:pPr>
          </w:p>
        </w:tc>
      </w:tr>
      <w:tr w:rsidR="008C4479" w:rsidRPr="00B64A59" w14:paraId="2F32A6D0"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B546CC" w14:textId="77777777" w:rsidR="008C4479" w:rsidRPr="00AC3A11" w:rsidRDefault="008C4479" w:rsidP="008C4479">
            <w:pPr>
              <w:rPr>
                <w:b/>
                <w:bCs/>
                <w:color w:val="000000"/>
              </w:rPr>
            </w:pPr>
            <w:r w:rsidRPr="00AC3A11">
              <w:rPr>
                <w:b/>
                <w:bCs/>
                <w:color w:val="000000"/>
              </w:rPr>
              <w:t>6.21. ICT systems, facilities</w:t>
            </w:r>
            <w:r>
              <w:rPr>
                <w:b/>
                <w:bCs/>
                <w:color w:val="000000"/>
              </w:rPr>
              <w:t>,</w:t>
            </w:r>
            <w:r w:rsidRPr="00AC3A11">
              <w:rPr>
                <w:b/>
                <w:bCs/>
                <w:color w:val="000000"/>
              </w:rPr>
              <w:t xml:space="preserve"> and infrastructure put in place</w:t>
            </w:r>
          </w:p>
        </w:tc>
        <w:tc>
          <w:tcPr>
            <w:tcW w:w="1543" w:type="dxa"/>
            <w:tcBorders>
              <w:top w:val="single" w:sz="4" w:space="0" w:color="auto"/>
              <w:left w:val="single" w:sz="4" w:space="0" w:color="auto"/>
              <w:bottom w:val="single" w:sz="4" w:space="0" w:color="auto"/>
              <w:right w:val="single" w:sz="4" w:space="0" w:color="auto"/>
            </w:tcBorders>
          </w:tcPr>
          <w:p w14:paraId="4269B5C2" w14:textId="77777777" w:rsidR="008C4479" w:rsidRPr="00AC3A11" w:rsidRDefault="008C4479" w:rsidP="008C4479">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6EAF69" w14:textId="77777777" w:rsidR="008C4479" w:rsidRPr="00AC3A11" w:rsidRDefault="008C4479" w:rsidP="008C4479">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D4C4A79" w14:textId="77777777" w:rsidR="008C4479" w:rsidRPr="00AC3A11" w:rsidRDefault="008C4479" w:rsidP="008C4479"/>
        </w:tc>
        <w:tc>
          <w:tcPr>
            <w:tcW w:w="1276" w:type="dxa"/>
            <w:tcBorders>
              <w:top w:val="single" w:sz="4" w:space="0" w:color="auto"/>
              <w:left w:val="single" w:sz="4" w:space="0" w:color="auto"/>
              <w:bottom w:val="single" w:sz="4" w:space="0" w:color="auto"/>
              <w:right w:val="single" w:sz="4" w:space="0" w:color="auto"/>
            </w:tcBorders>
          </w:tcPr>
          <w:p w14:paraId="22D20390" w14:textId="77777777" w:rsidR="008C4479" w:rsidRPr="00AC3A11" w:rsidRDefault="008C4479" w:rsidP="008C4479"/>
        </w:tc>
        <w:tc>
          <w:tcPr>
            <w:tcW w:w="1984" w:type="dxa"/>
            <w:tcBorders>
              <w:top w:val="single" w:sz="4" w:space="0" w:color="auto"/>
              <w:left w:val="single" w:sz="4" w:space="0" w:color="auto"/>
              <w:bottom w:val="single" w:sz="4" w:space="0" w:color="auto"/>
            </w:tcBorders>
          </w:tcPr>
          <w:p w14:paraId="6DDF6BAC" w14:textId="77777777" w:rsidR="008C4479" w:rsidRPr="00622FF3" w:rsidRDefault="008C4479" w:rsidP="008C4479">
            <w:pPr>
              <w:pStyle w:val="NoSpacing"/>
            </w:pPr>
          </w:p>
        </w:tc>
      </w:tr>
      <w:tr w:rsidR="008C4479" w:rsidRPr="00B64A59" w14:paraId="3E4DC277"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453640D2" w14:textId="77777777" w:rsidR="008C4479" w:rsidRPr="00AC3A11" w:rsidRDefault="008C4479" w:rsidP="008C4479">
            <w:pPr>
              <w:rPr>
                <w:color w:val="000000"/>
              </w:rPr>
            </w:pPr>
            <w:r w:rsidRPr="00AC3A11">
              <w:rPr>
                <w:color w:val="000000"/>
              </w:rPr>
              <w:t>Number of new ICT systems, ICT equipment, facilities</w:t>
            </w:r>
            <w:r>
              <w:rPr>
                <w:color w:val="000000"/>
              </w:rPr>
              <w:t>,</w:t>
            </w:r>
            <w:r w:rsidRPr="00AC3A11">
              <w:rPr>
                <w:color w:val="000000"/>
              </w:rPr>
              <w:t xml:space="preserve"> and infrastructure put in place</w:t>
            </w:r>
          </w:p>
        </w:tc>
        <w:tc>
          <w:tcPr>
            <w:tcW w:w="1543" w:type="dxa"/>
            <w:tcBorders>
              <w:top w:val="single" w:sz="4" w:space="0" w:color="auto"/>
              <w:left w:val="single" w:sz="4" w:space="0" w:color="auto"/>
              <w:bottom w:val="single" w:sz="4" w:space="0" w:color="auto"/>
              <w:right w:val="single" w:sz="4" w:space="0" w:color="auto"/>
            </w:tcBorders>
          </w:tcPr>
          <w:p w14:paraId="4D61882A" w14:textId="77777777" w:rsidR="008C4479" w:rsidRPr="00AC3A11" w:rsidRDefault="008C4479" w:rsidP="008C4479">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17EDD" w14:textId="77777777" w:rsidR="008C4479" w:rsidRPr="00AC3A11" w:rsidRDefault="008C4479" w:rsidP="008C4479">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15CA254" w14:textId="77777777" w:rsidR="008C4479" w:rsidRPr="00AC3A11" w:rsidRDefault="008C4479" w:rsidP="008C4479"/>
        </w:tc>
        <w:tc>
          <w:tcPr>
            <w:tcW w:w="1276" w:type="dxa"/>
            <w:tcBorders>
              <w:top w:val="single" w:sz="4" w:space="0" w:color="auto"/>
              <w:left w:val="single" w:sz="4" w:space="0" w:color="auto"/>
              <w:bottom w:val="single" w:sz="4" w:space="0" w:color="auto"/>
              <w:right w:val="single" w:sz="4" w:space="0" w:color="auto"/>
            </w:tcBorders>
          </w:tcPr>
          <w:p w14:paraId="59CC3347" w14:textId="77777777" w:rsidR="008C4479" w:rsidRPr="00AC3A11" w:rsidRDefault="008C4479" w:rsidP="008C4479"/>
        </w:tc>
        <w:tc>
          <w:tcPr>
            <w:tcW w:w="1984" w:type="dxa"/>
            <w:tcBorders>
              <w:top w:val="single" w:sz="4" w:space="0" w:color="auto"/>
              <w:left w:val="single" w:sz="4" w:space="0" w:color="auto"/>
              <w:bottom w:val="single" w:sz="4" w:space="0" w:color="auto"/>
            </w:tcBorders>
          </w:tcPr>
          <w:p w14:paraId="09D7FE91" w14:textId="77777777" w:rsidR="008C4479" w:rsidRPr="00622FF3" w:rsidRDefault="008C4479" w:rsidP="008C4479">
            <w:pPr>
              <w:pStyle w:val="NoSpacing"/>
            </w:pPr>
          </w:p>
        </w:tc>
      </w:tr>
      <w:tr w:rsidR="008C4479" w:rsidRPr="00B64A59" w14:paraId="441CE1DD"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482A1523" w14:textId="77777777" w:rsidR="008C4479" w:rsidRPr="00AC3A11" w:rsidRDefault="008C4479" w:rsidP="008C4479">
            <w:pPr>
              <w:rPr>
                <w:i/>
                <w:iCs/>
                <w:color w:val="000000"/>
              </w:rPr>
            </w:pPr>
            <w:r w:rsidRPr="00AC3A11">
              <w:rPr>
                <w:i/>
                <w:iCs/>
                <w:color w:val="000000"/>
              </w:rPr>
              <w:t>Number of new facilities and infrastructure put in place</w:t>
            </w:r>
          </w:p>
        </w:tc>
        <w:tc>
          <w:tcPr>
            <w:tcW w:w="1543" w:type="dxa"/>
            <w:tcBorders>
              <w:top w:val="single" w:sz="4" w:space="0" w:color="auto"/>
              <w:left w:val="single" w:sz="4" w:space="0" w:color="auto"/>
              <w:bottom w:val="single" w:sz="4" w:space="0" w:color="auto"/>
              <w:right w:val="single" w:sz="4" w:space="0" w:color="auto"/>
            </w:tcBorders>
          </w:tcPr>
          <w:p w14:paraId="1179CB9D" w14:textId="77777777" w:rsidR="008C4479" w:rsidRPr="00AC3A11" w:rsidRDefault="008C4479" w:rsidP="008C4479">
            <w:pPr>
              <w:jc w:val="center"/>
            </w:pPr>
            <w: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850F18" w14:textId="77777777" w:rsidR="008C4479" w:rsidRPr="00AC3A11" w:rsidRDefault="008C4479" w:rsidP="008C4479">
            <w:pPr>
              <w:jc w:val="center"/>
              <w:rPr>
                <w:color w:val="000000"/>
              </w:rPr>
            </w:pPr>
            <w:r>
              <w:rPr>
                <w:color w:val="00000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3A0C303" w14:textId="77777777" w:rsidR="008C4479" w:rsidRPr="00AC3A11" w:rsidRDefault="008F3E54" w:rsidP="008C4479">
            <w:r>
              <w:t>-2</w:t>
            </w:r>
          </w:p>
        </w:tc>
        <w:tc>
          <w:tcPr>
            <w:tcW w:w="1276" w:type="dxa"/>
            <w:tcBorders>
              <w:top w:val="single" w:sz="4" w:space="0" w:color="auto"/>
              <w:left w:val="single" w:sz="4" w:space="0" w:color="auto"/>
              <w:bottom w:val="single" w:sz="4" w:space="0" w:color="auto"/>
              <w:right w:val="single" w:sz="4" w:space="0" w:color="auto"/>
            </w:tcBorders>
          </w:tcPr>
          <w:p w14:paraId="79664C3D" w14:textId="77777777" w:rsidR="008C4479" w:rsidRPr="00AC3A11" w:rsidRDefault="008F3E54" w:rsidP="008C4479">
            <w:r>
              <w:t>Major Deviation</w:t>
            </w:r>
          </w:p>
        </w:tc>
        <w:tc>
          <w:tcPr>
            <w:tcW w:w="1984" w:type="dxa"/>
            <w:tcBorders>
              <w:top w:val="single" w:sz="4" w:space="0" w:color="auto"/>
              <w:left w:val="single" w:sz="4" w:space="0" w:color="auto"/>
              <w:bottom w:val="single" w:sz="4" w:space="0" w:color="auto"/>
            </w:tcBorders>
          </w:tcPr>
          <w:p w14:paraId="6487ADA1" w14:textId="77777777" w:rsidR="008C4479" w:rsidRPr="00622FF3" w:rsidRDefault="008C4479" w:rsidP="008C4479">
            <w:pPr>
              <w:pStyle w:val="NoSpacing"/>
            </w:pPr>
          </w:p>
        </w:tc>
      </w:tr>
      <w:tr w:rsidR="008C4479" w:rsidRPr="00B64A59" w14:paraId="5BFE1ADC"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2311B61A" w14:textId="77777777" w:rsidR="008C4479" w:rsidRPr="00AC3A11" w:rsidRDefault="008C4479" w:rsidP="008C4479">
            <w:pPr>
              <w:rPr>
                <w:i/>
                <w:iCs/>
                <w:color w:val="000000"/>
              </w:rPr>
            </w:pPr>
            <w:r w:rsidRPr="00AC3A11">
              <w:rPr>
                <w:i/>
                <w:iCs/>
                <w:color w:val="000000"/>
              </w:rPr>
              <w:t>Number of ICT Equipment put in place</w:t>
            </w:r>
          </w:p>
        </w:tc>
        <w:tc>
          <w:tcPr>
            <w:tcW w:w="1543" w:type="dxa"/>
            <w:tcBorders>
              <w:top w:val="single" w:sz="4" w:space="0" w:color="auto"/>
              <w:left w:val="single" w:sz="4" w:space="0" w:color="auto"/>
              <w:bottom w:val="single" w:sz="4" w:space="0" w:color="auto"/>
              <w:right w:val="single" w:sz="4" w:space="0" w:color="auto"/>
            </w:tcBorders>
          </w:tcPr>
          <w:p w14:paraId="7983BC9D" w14:textId="77777777" w:rsidR="008C4479" w:rsidRPr="00AC3A11" w:rsidRDefault="008C4479" w:rsidP="008C4479">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E7C394" w14:textId="77777777" w:rsidR="008C4479" w:rsidRPr="00AC3A11" w:rsidRDefault="008C4479" w:rsidP="008C4479">
            <w:pPr>
              <w:jc w:val="center"/>
              <w:rPr>
                <w:color w:val="000000"/>
              </w:rPr>
            </w:pPr>
            <w:r>
              <w:rPr>
                <w:color w:val="000000"/>
              </w:rPr>
              <w:t>98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F46D803" w14:textId="77777777" w:rsidR="008C4479" w:rsidRPr="00AC3A11" w:rsidRDefault="008F3E54" w:rsidP="008C4479">
            <w:r>
              <w:t>0</w:t>
            </w:r>
          </w:p>
        </w:tc>
        <w:tc>
          <w:tcPr>
            <w:tcW w:w="1276" w:type="dxa"/>
            <w:tcBorders>
              <w:top w:val="single" w:sz="4" w:space="0" w:color="auto"/>
              <w:left w:val="single" w:sz="4" w:space="0" w:color="auto"/>
              <w:bottom w:val="single" w:sz="4" w:space="0" w:color="auto"/>
              <w:right w:val="single" w:sz="4" w:space="0" w:color="auto"/>
            </w:tcBorders>
          </w:tcPr>
          <w:p w14:paraId="6BD9BD5C" w14:textId="77777777" w:rsidR="008C4479" w:rsidRPr="00AC3A11" w:rsidRDefault="008F3E54" w:rsidP="008C4479">
            <w:r>
              <w:t xml:space="preserve">Full Target Achieved </w:t>
            </w:r>
          </w:p>
        </w:tc>
        <w:tc>
          <w:tcPr>
            <w:tcW w:w="1984" w:type="dxa"/>
            <w:tcBorders>
              <w:top w:val="single" w:sz="4" w:space="0" w:color="auto"/>
              <w:left w:val="single" w:sz="4" w:space="0" w:color="auto"/>
              <w:bottom w:val="single" w:sz="4" w:space="0" w:color="auto"/>
            </w:tcBorders>
          </w:tcPr>
          <w:p w14:paraId="1B425D32" w14:textId="77777777" w:rsidR="008C4479" w:rsidRPr="00622FF3" w:rsidRDefault="008C4479" w:rsidP="008C4479">
            <w:pPr>
              <w:pStyle w:val="NoSpacing"/>
            </w:pPr>
          </w:p>
        </w:tc>
      </w:tr>
      <w:tr w:rsidR="008C4479" w:rsidRPr="00B64A59" w14:paraId="00EB48A1" w14:textId="77777777" w:rsidTr="00023229">
        <w:trPr>
          <w:trHeight w:val="189"/>
        </w:trPr>
        <w:tc>
          <w:tcPr>
            <w:tcW w:w="10201" w:type="dxa"/>
            <w:gridSpan w:val="7"/>
            <w:tcBorders>
              <w:top w:val="single" w:sz="4" w:space="0" w:color="auto"/>
              <w:left w:val="single" w:sz="4" w:space="0" w:color="auto"/>
              <w:bottom w:val="single" w:sz="4" w:space="0" w:color="auto"/>
            </w:tcBorders>
            <w:shd w:val="clear" w:color="auto" w:fill="DEEAF6" w:themeFill="accent1" w:themeFillTint="33"/>
          </w:tcPr>
          <w:p w14:paraId="3E593FA4" w14:textId="77777777" w:rsidR="008C4479" w:rsidRPr="00AC3A11" w:rsidRDefault="008C4479" w:rsidP="008C4479">
            <w:pPr>
              <w:pStyle w:val="NoSpacing"/>
              <w:rPr>
                <w:b/>
              </w:rPr>
            </w:pPr>
            <w:r w:rsidRPr="00AC3A11">
              <w:rPr>
                <w:b/>
                <w:iCs/>
                <w:color w:val="000000"/>
              </w:rPr>
              <w:t>Internal Audit</w:t>
            </w:r>
          </w:p>
        </w:tc>
      </w:tr>
      <w:tr w:rsidR="008C4479" w:rsidRPr="00B64A59" w14:paraId="5B5142A3"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4DF7FE" w14:textId="77777777" w:rsidR="008C4479" w:rsidRPr="00AC3A11" w:rsidRDefault="008C4479" w:rsidP="008C4479">
            <w:pPr>
              <w:rPr>
                <w:b/>
                <w:color w:val="000000"/>
              </w:rPr>
            </w:pPr>
            <w:r w:rsidRPr="00AC3A11">
              <w:rPr>
                <w:b/>
                <w:color w:val="000000"/>
              </w:rPr>
              <w:t xml:space="preserve">6.22. Percentage of IAS audit </w:t>
            </w:r>
            <w:r w:rsidRPr="00AC3A11">
              <w:rPr>
                <w:b/>
                <w:color w:val="000000"/>
              </w:rPr>
              <w:lastRenderedPageBreak/>
              <w:t>recommendations complied with</w:t>
            </w:r>
          </w:p>
        </w:tc>
        <w:tc>
          <w:tcPr>
            <w:tcW w:w="1543" w:type="dxa"/>
            <w:tcBorders>
              <w:top w:val="single" w:sz="4" w:space="0" w:color="auto"/>
              <w:left w:val="single" w:sz="4" w:space="0" w:color="auto"/>
              <w:bottom w:val="single" w:sz="4" w:space="0" w:color="auto"/>
              <w:right w:val="single" w:sz="4" w:space="0" w:color="auto"/>
            </w:tcBorders>
          </w:tcPr>
          <w:p w14:paraId="132FAB43" w14:textId="77777777" w:rsidR="008C4479" w:rsidRPr="00AC3A11" w:rsidRDefault="008C4479" w:rsidP="008C4479">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C9DC11" w14:textId="77777777" w:rsidR="008C4479" w:rsidRPr="00AC3A11" w:rsidRDefault="008C4479" w:rsidP="008C4479">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90C50E5" w14:textId="77777777" w:rsidR="008C4479" w:rsidRPr="00AC3A11" w:rsidRDefault="008C4479" w:rsidP="008C4479"/>
        </w:tc>
        <w:tc>
          <w:tcPr>
            <w:tcW w:w="1276" w:type="dxa"/>
            <w:tcBorders>
              <w:top w:val="single" w:sz="4" w:space="0" w:color="auto"/>
              <w:left w:val="single" w:sz="4" w:space="0" w:color="auto"/>
              <w:bottom w:val="single" w:sz="4" w:space="0" w:color="auto"/>
              <w:right w:val="single" w:sz="4" w:space="0" w:color="auto"/>
            </w:tcBorders>
          </w:tcPr>
          <w:p w14:paraId="58881710" w14:textId="77777777" w:rsidR="008C4479" w:rsidRPr="00AC3A11" w:rsidRDefault="008C4479" w:rsidP="008C4479"/>
        </w:tc>
        <w:tc>
          <w:tcPr>
            <w:tcW w:w="1984" w:type="dxa"/>
            <w:tcBorders>
              <w:top w:val="single" w:sz="4" w:space="0" w:color="auto"/>
              <w:left w:val="single" w:sz="4" w:space="0" w:color="auto"/>
              <w:bottom w:val="single" w:sz="4" w:space="0" w:color="auto"/>
            </w:tcBorders>
          </w:tcPr>
          <w:p w14:paraId="77E9B1A7" w14:textId="77777777" w:rsidR="008C4479" w:rsidRPr="00622FF3" w:rsidRDefault="008F3E54" w:rsidP="008C4479">
            <w:pPr>
              <w:pStyle w:val="NoSpacing"/>
            </w:pPr>
            <w:r>
              <w:rPr>
                <w:color w:val="000000"/>
                <w:sz w:val="20"/>
                <w:szCs w:val="20"/>
              </w:rPr>
              <w:t xml:space="preserve">N/A. The 1st quarterly reporting </w:t>
            </w:r>
            <w:r>
              <w:rPr>
                <w:color w:val="000000"/>
                <w:sz w:val="20"/>
                <w:szCs w:val="20"/>
              </w:rPr>
              <w:lastRenderedPageBreak/>
              <w:t>for 2022 will be on June 2022</w:t>
            </w:r>
          </w:p>
        </w:tc>
      </w:tr>
      <w:tr w:rsidR="008C4479" w:rsidRPr="00B64A59" w14:paraId="254993BF"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57764181" w14:textId="77777777" w:rsidR="008C4479" w:rsidRPr="00AC3A11" w:rsidRDefault="008C4479" w:rsidP="008C4479">
            <w:pPr>
              <w:rPr>
                <w:iCs/>
                <w:color w:val="000000"/>
              </w:rPr>
            </w:pPr>
            <w:r w:rsidRPr="00AC3A11">
              <w:rPr>
                <w:iCs/>
                <w:color w:val="000000"/>
              </w:rPr>
              <w:lastRenderedPageBreak/>
              <w:t>No. of IAS Audit Recommendations</w:t>
            </w:r>
          </w:p>
        </w:tc>
        <w:tc>
          <w:tcPr>
            <w:tcW w:w="1543" w:type="dxa"/>
            <w:tcBorders>
              <w:top w:val="single" w:sz="4" w:space="0" w:color="auto"/>
              <w:left w:val="single" w:sz="4" w:space="0" w:color="auto"/>
              <w:bottom w:val="single" w:sz="4" w:space="0" w:color="auto"/>
              <w:right w:val="single" w:sz="4" w:space="0" w:color="auto"/>
            </w:tcBorders>
          </w:tcPr>
          <w:p w14:paraId="6EBBC6FB" w14:textId="77777777" w:rsidR="008C4479" w:rsidRPr="00AC3A11" w:rsidRDefault="008F3E54" w:rsidP="008C4479">
            <w:pPr>
              <w:jc w:val="center"/>
            </w:pPr>
            <w:r>
              <w:t>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D7236" w14:textId="77777777" w:rsidR="008C4479" w:rsidRPr="00AC3A11" w:rsidRDefault="008F3E54" w:rsidP="008C4479">
            <w:pPr>
              <w:jc w:val="center"/>
            </w:pPr>
            <w:r>
              <w:t>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8A3522A" w14:textId="77777777" w:rsidR="008C4479" w:rsidRPr="00AC3A11" w:rsidRDefault="008F3E54" w:rsidP="008C4479">
            <w:r>
              <w:t>-16</w:t>
            </w:r>
          </w:p>
        </w:tc>
        <w:tc>
          <w:tcPr>
            <w:tcW w:w="1276" w:type="dxa"/>
            <w:tcBorders>
              <w:top w:val="single" w:sz="4" w:space="0" w:color="auto"/>
              <w:left w:val="single" w:sz="4" w:space="0" w:color="auto"/>
              <w:bottom w:val="single" w:sz="4" w:space="0" w:color="auto"/>
              <w:right w:val="single" w:sz="4" w:space="0" w:color="auto"/>
            </w:tcBorders>
          </w:tcPr>
          <w:p w14:paraId="3C93F936" w14:textId="77777777" w:rsidR="008C4479" w:rsidRPr="00AC3A11" w:rsidRDefault="008F3E54" w:rsidP="008C4479">
            <w:r>
              <w:t>Major Deviation</w:t>
            </w:r>
          </w:p>
        </w:tc>
        <w:tc>
          <w:tcPr>
            <w:tcW w:w="1984" w:type="dxa"/>
            <w:tcBorders>
              <w:top w:val="single" w:sz="4" w:space="0" w:color="auto"/>
              <w:left w:val="single" w:sz="4" w:space="0" w:color="auto"/>
              <w:bottom w:val="single" w:sz="4" w:space="0" w:color="auto"/>
            </w:tcBorders>
          </w:tcPr>
          <w:p w14:paraId="13CC724C" w14:textId="77777777" w:rsidR="008C4479" w:rsidRPr="00622FF3" w:rsidRDefault="008C4479" w:rsidP="008C4479">
            <w:pPr>
              <w:pStyle w:val="NoSpacing"/>
            </w:pPr>
          </w:p>
        </w:tc>
      </w:tr>
      <w:tr w:rsidR="008C4479" w:rsidRPr="00B64A59" w14:paraId="2B0CC011"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12B5BA77" w14:textId="77777777" w:rsidR="008C4479" w:rsidRPr="00AC3A11" w:rsidRDefault="008C4479" w:rsidP="008C4479">
            <w:pPr>
              <w:rPr>
                <w:iCs/>
                <w:color w:val="000000"/>
              </w:rPr>
            </w:pPr>
            <w:r w:rsidRPr="00AC3A11">
              <w:rPr>
                <w:iCs/>
                <w:color w:val="000000"/>
              </w:rPr>
              <w:t>Total No. of Audit Recommendations Complied</w:t>
            </w:r>
          </w:p>
        </w:tc>
        <w:tc>
          <w:tcPr>
            <w:tcW w:w="1543" w:type="dxa"/>
            <w:tcBorders>
              <w:top w:val="single" w:sz="4" w:space="0" w:color="auto"/>
              <w:left w:val="single" w:sz="4" w:space="0" w:color="auto"/>
              <w:bottom w:val="single" w:sz="4" w:space="0" w:color="auto"/>
              <w:right w:val="single" w:sz="4" w:space="0" w:color="auto"/>
            </w:tcBorders>
          </w:tcPr>
          <w:p w14:paraId="60BF23EC" w14:textId="77777777" w:rsidR="008C4479" w:rsidRPr="00AC3A11" w:rsidRDefault="008F3E54" w:rsidP="008C4479">
            <w:pPr>
              <w:jc w:val="center"/>
            </w:pPr>
            <w:r>
              <w:t>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1F385" w14:textId="77777777" w:rsidR="008C4479" w:rsidRPr="00AC3A11" w:rsidRDefault="008F3E54" w:rsidP="008C4479">
            <w:pPr>
              <w:jc w:val="center"/>
            </w:pPr>
            <w:r>
              <w:t>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478068A" w14:textId="77777777" w:rsidR="008C4479" w:rsidRPr="00AC3A11" w:rsidRDefault="008F3E54" w:rsidP="008C4479">
            <w:r>
              <w:t>-16</w:t>
            </w:r>
          </w:p>
        </w:tc>
        <w:tc>
          <w:tcPr>
            <w:tcW w:w="1276" w:type="dxa"/>
            <w:tcBorders>
              <w:top w:val="single" w:sz="4" w:space="0" w:color="auto"/>
              <w:left w:val="single" w:sz="4" w:space="0" w:color="auto"/>
              <w:bottom w:val="single" w:sz="4" w:space="0" w:color="auto"/>
              <w:right w:val="single" w:sz="4" w:space="0" w:color="auto"/>
            </w:tcBorders>
          </w:tcPr>
          <w:p w14:paraId="1B9FB214" w14:textId="77777777" w:rsidR="008C4479" w:rsidRPr="00AC3A11" w:rsidRDefault="008F3E54" w:rsidP="008C4479">
            <w:r>
              <w:t>Major Deviation</w:t>
            </w:r>
          </w:p>
        </w:tc>
        <w:tc>
          <w:tcPr>
            <w:tcW w:w="1984" w:type="dxa"/>
            <w:tcBorders>
              <w:top w:val="single" w:sz="4" w:space="0" w:color="auto"/>
              <w:left w:val="single" w:sz="4" w:space="0" w:color="auto"/>
              <w:bottom w:val="single" w:sz="4" w:space="0" w:color="auto"/>
            </w:tcBorders>
          </w:tcPr>
          <w:p w14:paraId="587F69DA" w14:textId="77777777" w:rsidR="008C4479" w:rsidRPr="00622FF3" w:rsidRDefault="008C4479" w:rsidP="008C4479">
            <w:pPr>
              <w:pStyle w:val="NoSpacing"/>
            </w:pPr>
          </w:p>
        </w:tc>
      </w:tr>
      <w:tr w:rsidR="008C4479" w:rsidRPr="00B64A59" w14:paraId="6239E86D"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233106EC" w14:textId="77777777" w:rsidR="008C4479" w:rsidRPr="00AC3A11" w:rsidRDefault="008C4479" w:rsidP="008C4479">
            <w:pPr>
              <w:rPr>
                <w:b/>
                <w:color w:val="000000"/>
              </w:rPr>
            </w:pPr>
            <w:r w:rsidRPr="00AC3A11">
              <w:rPr>
                <w:b/>
                <w:color w:val="000000"/>
              </w:rPr>
              <w:t>6.23. Percentage of integrity management measures implemented</w:t>
            </w:r>
          </w:p>
        </w:tc>
        <w:tc>
          <w:tcPr>
            <w:tcW w:w="1543" w:type="dxa"/>
            <w:tcBorders>
              <w:top w:val="single" w:sz="4" w:space="0" w:color="auto"/>
              <w:left w:val="single" w:sz="4" w:space="0" w:color="auto"/>
              <w:bottom w:val="single" w:sz="4" w:space="0" w:color="auto"/>
              <w:right w:val="single" w:sz="4" w:space="0" w:color="auto"/>
            </w:tcBorders>
          </w:tcPr>
          <w:p w14:paraId="2AE34ECC" w14:textId="77777777" w:rsidR="008C4479" w:rsidRPr="00AC3A11" w:rsidRDefault="008F3E54" w:rsidP="008C4479">
            <w:pPr>
              <w:jc w:val="center"/>
            </w:pPr>
            <w:r>
              <w:t>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52B163" w14:textId="77777777" w:rsidR="008C4479" w:rsidRPr="00AC3A11" w:rsidRDefault="008F3E54" w:rsidP="008C4479">
            <w:pPr>
              <w:jc w:val="center"/>
              <w:rPr>
                <w:color w:val="000000"/>
              </w:rPr>
            </w:pPr>
            <w:r>
              <w:rPr>
                <w:color w:val="000000"/>
              </w:rPr>
              <w:t>N/A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86C1588" w14:textId="77777777" w:rsidR="008C4479" w:rsidRPr="00AC3A11" w:rsidRDefault="008C4479" w:rsidP="008C4479"/>
        </w:tc>
        <w:tc>
          <w:tcPr>
            <w:tcW w:w="1276" w:type="dxa"/>
            <w:tcBorders>
              <w:top w:val="single" w:sz="4" w:space="0" w:color="auto"/>
              <w:left w:val="single" w:sz="4" w:space="0" w:color="auto"/>
              <w:bottom w:val="single" w:sz="4" w:space="0" w:color="auto"/>
              <w:right w:val="single" w:sz="4" w:space="0" w:color="auto"/>
            </w:tcBorders>
          </w:tcPr>
          <w:p w14:paraId="0582D1E9" w14:textId="77777777" w:rsidR="008C4479" w:rsidRPr="00AC3A11" w:rsidRDefault="008C4479" w:rsidP="008C4479"/>
        </w:tc>
        <w:tc>
          <w:tcPr>
            <w:tcW w:w="1984" w:type="dxa"/>
            <w:tcBorders>
              <w:top w:val="single" w:sz="4" w:space="0" w:color="auto"/>
              <w:left w:val="single" w:sz="4" w:space="0" w:color="auto"/>
              <w:bottom w:val="single" w:sz="4" w:space="0" w:color="auto"/>
            </w:tcBorders>
          </w:tcPr>
          <w:p w14:paraId="06BB8069" w14:textId="77777777" w:rsidR="008C4479" w:rsidRPr="00622FF3" w:rsidRDefault="008C4479" w:rsidP="008C4479">
            <w:pPr>
              <w:pStyle w:val="NoSpacing"/>
            </w:pPr>
          </w:p>
        </w:tc>
      </w:tr>
      <w:tr w:rsidR="008F3E54" w:rsidRPr="00B64A59" w14:paraId="6A420DE7"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629684D9" w14:textId="77777777" w:rsidR="008F3E54" w:rsidRPr="00AC3A11" w:rsidRDefault="008F3E54" w:rsidP="008F3E54">
            <w:pPr>
              <w:rPr>
                <w:iCs/>
                <w:color w:val="000000"/>
              </w:rPr>
            </w:pPr>
            <w:r w:rsidRPr="00AC3A11">
              <w:rPr>
                <w:iCs/>
                <w:color w:val="000000"/>
              </w:rPr>
              <w:t>Total No. of Integrity Measures Identified</w:t>
            </w:r>
          </w:p>
        </w:tc>
        <w:tc>
          <w:tcPr>
            <w:tcW w:w="1543" w:type="dxa"/>
            <w:tcBorders>
              <w:top w:val="single" w:sz="4" w:space="0" w:color="auto"/>
              <w:left w:val="single" w:sz="4" w:space="0" w:color="auto"/>
              <w:bottom w:val="single" w:sz="4" w:space="0" w:color="auto"/>
              <w:right w:val="single" w:sz="4" w:space="0" w:color="auto"/>
            </w:tcBorders>
          </w:tcPr>
          <w:p w14:paraId="43735E36" w14:textId="77777777" w:rsidR="008F3E54" w:rsidRPr="00AC3A11" w:rsidRDefault="008F3E54" w:rsidP="008F3E54">
            <w:pPr>
              <w:jc w:val="center"/>
            </w:pPr>
            <w:r>
              <w:t>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F20E3E" w14:textId="77777777" w:rsidR="008F3E54" w:rsidRPr="00AC3A11" w:rsidRDefault="008F3E54" w:rsidP="008F3E54">
            <w:pPr>
              <w:jc w:val="center"/>
              <w:rPr>
                <w:color w:val="000000"/>
              </w:rPr>
            </w:pPr>
            <w:r>
              <w:rPr>
                <w:color w:val="000000"/>
              </w:rPr>
              <w:t>N/A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0192515" w14:textId="77777777" w:rsidR="008F3E54" w:rsidRPr="00AC3A11" w:rsidRDefault="008F3E54" w:rsidP="008F3E54"/>
        </w:tc>
        <w:tc>
          <w:tcPr>
            <w:tcW w:w="1276" w:type="dxa"/>
            <w:tcBorders>
              <w:top w:val="single" w:sz="4" w:space="0" w:color="auto"/>
              <w:left w:val="single" w:sz="4" w:space="0" w:color="auto"/>
              <w:bottom w:val="single" w:sz="4" w:space="0" w:color="auto"/>
              <w:right w:val="single" w:sz="4" w:space="0" w:color="auto"/>
            </w:tcBorders>
          </w:tcPr>
          <w:p w14:paraId="6FB0782F" w14:textId="77777777" w:rsidR="008F3E54" w:rsidRPr="00AC3A11" w:rsidRDefault="008F3E54" w:rsidP="008F3E54"/>
        </w:tc>
        <w:tc>
          <w:tcPr>
            <w:tcW w:w="1984" w:type="dxa"/>
            <w:tcBorders>
              <w:top w:val="single" w:sz="4" w:space="0" w:color="auto"/>
              <w:left w:val="single" w:sz="4" w:space="0" w:color="auto"/>
              <w:bottom w:val="single" w:sz="4" w:space="0" w:color="auto"/>
            </w:tcBorders>
          </w:tcPr>
          <w:p w14:paraId="5FFF8FF2" w14:textId="77777777" w:rsidR="008F3E54" w:rsidRPr="00622FF3" w:rsidRDefault="008F3E54" w:rsidP="008F3E54">
            <w:pPr>
              <w:pStyle w:val="NoSpacing"/>
            </w:pPr>
          </w:p>
        </w:tc>
      </w:tr>
      <w:tr w:rsidR="008F3E54" w:rsidRPr="00B64A59" w14:paraId="1183EF9D"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031C52B4" w14:textId="77777777" w:rsidR="008F3E54" w:rsidRPr="00AC3A11" w:rsidRDefault="008F3E54" w:rsidP="008F3E54">
            <w:pPr>
              <w:rPr>
                <w:iCs/>
                <w:color w:val="000000"/>
              </w:rPr>
            </w:pPr>
            <w:r w:rsidRPr="00AC3A11">
              <w:rPr>
                <w:iCs/>
                <w:color w:val="000000"/>
              </w:rPr>
              <w:t>Total No. of Integrity Measures Implemented</w:t>
            </w:r>
          </w:p>
        </w:tc>
        <w:tc>
          <w:tcPr>
            <w:tcW w:w="1543" w:type="dxa"/>
            <w:tcBorders>
              <w:top w:val="single" w:sz="4" w:space="0" w:color="auto"/>
              <w:left w:val="single" w:sz="4" w:space="0" w:color="auto"/>
              <w:bottom w:val="single" w:sz="4" w:space="0" w:color="auto"/>
              <w:right w:val="single" w:sz="4" w:space="0" w:color="auto"/>
            </w:tcBorders>
          </w:tcPr>
          <w:p w14:paraId="709D7990" w14:textId="77777777" w:rsidR="008F3E54" w:rsidRPr="00AC3A11" w:rsidRDefault="008F3E54" w:rsidP="008F3E54">
            <w:pPr>
              <w:jc w:val="center"/>
            </w:pPr>
            <w:r>
              <w:t>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4D6FAA" w14:textId="77777777" w:rsidR="008F3E54" w:rsidRPr="00AC3A11" w:rsidRDefault="008F3E54" w:rsidP="008F3E54">
            <w:pPr>
              <w:jc w:val="center"/>
              <w:rPr>
                <w:color w:val="000000"/>
              </w:rPr>
            </w:pPr>
            <w:r>
              <w:rPr>
                <w:color w:val="000000"/>
              </w:rPr>
              <w:t>N/A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9C1C253" w14:textId="77777777" w:rsidR="008F3E54" w:rsidRPr="00AC3A11" w:rsidRDefault="008F3E54" w:rsidP="008F3E54"/>
        </w:tc>
        <w:tc>
          <w:tcPr>
            <w:tcW w:w="1276" w:type="dxa"/>
            <w:tcBorders>
              <w:top w:val="single" w:sz="4" w:space="0" w:color="auto"/>
              <w:left w:val="single" w:sz="4" w:space="0" w:color="auto"/>
              <w:bottom w:val="single" w:sz="4" w:space="0" w:color="auto"/>
              <w:right w:val="single" w:sz="4" w:space="0" w:color="auto"/>
            </w:tcBorders>
          </w:tcPr>
          <w:p w14:paraId="69489D67" w14:textId="77777777" w:rsidR="008F3E54" w:rsidRPr="00AC3A11" w:rsidRDefault="008F3E54" w:rsidP="008F3E54"/>
        </w:tc>
        <w:tc>
          <w:tcPr>
            <w:tcW w:w="1984" w:type="dxa"/>
            <w:tcBorders>
              <w:top w:val="single" w:sz="4" w:space="0" w:color="auto"/>
              <w:left w:val="single" w:sz="4" w:space="0" w:color="auto"/>
              <w:bottom w:val="single" w:sz="4" w:space="0" w:color="auto"/>
            </w:tcBorders>
          </w:tcPr>
          <w:p w14:paraId="21CB5B8D" w14:textId="77777777" w:rsidR="008F3E54" w:rsidRPr="00622FF3" w:rsidRDefault="008F3E54" w:rsidP="008F3E54">
            <w:pPr>
              <w:pStyle w:val="NoSpacing"/>
            </w:pPr>
          </w:p>
        </w:tc>
      </w:tr>
      <w:tr w:rsidR="008C4479" w:rsidRPr="00B64A59" w14:paraId="54C64008" w14:textId="77777777" w:rsidTr="00023229">
        <w:trPr>
          <w:trHeight w:val="189"/>
        </w:trPr>
        <w:tc>
          <w:tcPr>
            <w:tcW w:w="10201" w:type="dxa"/>
            <w:gridSpan w:val="7"/>
            <w:tcBorders>
              <w:top w:val="single" w:sz="4" w:space="0" w:color="auto"/>
              <w:left w:val="single" w:sz="4" w:space="0" w:color="auto"/>
              <w:bottom w:val="single" w:sz="4" w:space="0" w:color="auto"/>
            </w:tcBorders>
            <w:shd w:val="clear" w:color="auto" w:fill="DEEAF6" w:themeFill="accent1" w:themeFillTint="33"/>
          </w:tcPr>
          <w:p w14:paraId="0D8C2724" w14:textId="77777777" w:rsidR="008C4479" w:rsidRPr="00AC3A11" w:rsidRDefault="008C4479" w:rsidP="008C4479">
            <w:pPr>
              <w:pStyle w:val="NoSpacing"/>
              <w:rPr>
                <w:b/>
              </w:rPr>
            </w:pPr>
            <w:r w:rsidRPr="00AC3A11">
              <w:rPr>
                <w:b/>
                <w:iCs/>
                <w:color w:val="000000"/>
              </w:rPr>
              <w:t>Social Marketing</w:t>
            </w:r>
          </w:p>
        </w:tc>
      </w:tr>
      <w:tr w:rsidR="008C4479" w:rsidRPr="00B64A59" w14:paraId="3A2EAA8A" w14:textId="77777777" w:rsidTr="00023229">
        <w:trPr>
          <w:trHeight w:val="189"/>
        </w:trPr>
        <w:tc>
          <w:tcPr>
            <w:tcW w:w="2280" w:type="dxa"/>
            <w:tcBorders>
              <w:top w:val="single" w:sz="4" w:space="0" w:color="000000"/>
              <w:left w:val="single" w:sz="4" w:space="0" w:color="000000"/>
              <w:bottom w:val="single" w:sz="4" w:space="0" w:color="auto"/>
              <w:right w:val="single" w:sz="4" w:space="0" w:color="000000"/>
            </w:tcBorders>
            <w:shd w:val="clear" w:color="auto" w:fill="auto"/>
          </w:tcPr>
          <w:p w14:paraId="54935656" w14:textId="77777777" w:rsidR="008C4479" w:rsidRPr="00AC3A11" w:rsidRDefault="008C4479" w:rsidP="008C4479">
            <w:pPr>
              <w:rPr>
                <w:b/>
                <w:color w:val="000000"/>
              </w:rPr>
            </w:pPr>
            <w:r w:rsidRPr="00AC3A11">
              <w:rPr>
                <w:b/>
                <w:color w:val="000000"/>
              </w:rPr>
              <w:t>6.24. Percentage of respondents aware of at least 2 DSWD programs except</w:t>
            </w:r>
            <w:r>
              <w:rPr>
                <w:b/>
                <w:color w:val="000000"/>
              </w:rPr>
              <w:t xml:space="preserve"> for</w:t>
            </w:r>
            <w:r w:rsidRPr="00AC3A11">
              <w:rPr>
                <w:b/>
                <w:color w:val="000000"/>
              </w:rPr>
              <w:t xml:space="preserve"> 4Ps</w:t>
            </w:r>
          </w:p>
        </w:tc>
        <w:tc>
          <w:tcPr>
            <w:tcW w:w="1543" w:type="dxa"/>
            <w:tcBorders>
              <w:top w:val="single" w:sz="4" w:space="0" w:color="auto"/>
              <w:left w:val="single" w:sz="4" w:space="0" w:color="auto"/>
              <w:bottom w:val="single" w:sz="4" w:space="0" w:color="auto"/>
              <w:right w:val="single" w:sz="4" w:space="0" w:color="auto"/>
            </w:tcBorders>
          </w:tcPr>
          <w:p w14:paraId="3363FC82" w14:textId="77777777" w:rsidR="008C4479" w:rsidRPr="00AC3A11" w:rsidRDefault="008F3E54" w:rsidP="008C4479">
            <w:pPr>
              <w:jc w:val="center"/>
            </w:pPr>
            <w:r>
              <w:rPr>
                <w:rFonts w:ascii="Helvetica" w:hAnsi="Helvetica" w:cs="Helvetica"/>
                <w:color w:val="000000"/>
                <w:sz w:val="20"/>
                <w:szCs w:val="20"/>
                <w:shd w:val="clear" w:color="auto" w:fill="FFFFFF"/>
              </w:rPr>
              <w:t>50% awareness of SWDAs, LGUs, NGAs and beneficiaries of at least 2 DSWD programs except 4Ps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DAC3D9" w14:textId="77777777" w:rsidR="008C4479" w:rsidRPr="00AC3A11" w:rsidRDefault="008F3E54" w:rsidP="008C4479">
            <w:pPr>
              <w:jc w:val="center"/>
              <w:rPr>
                <w:color w:val="000000"/>
              </w:rPr>
            </w:pPr>
            <w:r>
              <w:rPr>
                <w:color w:val="000000"/>
              </w:rPr>
              <w:t>N/A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C980D48" w14:textId="77777777" w:rsidR="008C4479" w:rsidRPr="00AC3A11" w:rsidRDefault="008C4479" w:rsidP="008C4479"/>
        </w:tc>
        <w:tc>
          <w:tcPr>
            <w:tcW w:w="1276" w:type="dxa"/>
            <w:tcBorders>
              <w:top w:val="single" w:sz="4" w:space="0" w:color="auto"/>
              <w:left w:val="single" w:sz="4" w:space="0" w:color="auto"/>
              <w:bottom w:val="single" w:sz="4" w:space="0" w:color="auto"/>
              <w:right w:val="single" w:sz="4" w:space="0" w:color="auto"/>
            </w:tcBorders>
          </w:tcPr>
          <w:p w14:paraId="20427EDD" w14:textId="77777777" w:rsidR="008C4479" w:rsidRPr="00AC3A11" w:rsidRDefault="008C4479" w:rsidP="008C4479"/>
        </w:tc>
        <w:tc>
          <w:tcPr>
            <w:tcW w:w="1984" w:type="dxa"/>
            <w:tcBorders>
              <w:top w:val="single" w:sz="4" w:space="0" w:color="auto"/>
              <w:left w:val="single" w:sz="4" w:space="0" w:color="auto"/>
              <w:bottom w:val="single" w:sz="4" w:space="0" w:color="auto"/>
            </w:tcBorders>
          </w:tcPr>
          <w:p w14:paraId="3209B9EE" w14:textId="77777777" w:rsidR="008C4479" w:rsidRPr="00622FF3" w:rsidRDefault="008F3E54" w:rsidP="008C4479">
            <w:pPr>
              <w:pStyle w:val="NoSpacing"/>
            </w:pPr>
            <w:r>
              <w:t>The report will be generated after KAP survey administration until EO of December</w:t>
            </w:r>
          </w:p>
        </w:tc>
      </w:tr>
      <w:tr w:rsidR="008C4479" w:rsidRPr="00B64A59" w14:paraId="436411DF"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2B514A20" w14:textId="77777777" w:rsidR="008C4479" w:rsidRPr="00AC3A11" w:rsidRDefault="008C4479" w:rsidP="008C4479">
            <w:pPr>
              <w:rPr>
                <w:b/>
                <w:color w:val="000000"/>
              </w:rPr>
            </w:pPr>
            <w:r w:rsidRPr="00AC3A11">
              <w:rPr>
                <w:b/>
                <w:color w:val="000000"/>
              </w:rPr>
              <w:t>6.25. Number of social marketing activities conducted</w:t>
            </w:r>
          </w:p>
        </w:tc>
        <w:tc>
          <w:tcPr>
            <w:tcW w:w="1543" w:type="dxa"/>
            <w:tcBorders>
              <w:top w:val="single" w:sz="4" w:space="0" w:color="auto"/>
              <w:left w:val="single" w:sz="4" w:space="0" w:color="auto"/>
              <w:bottom w:val="single" w:sz="4" w:space="0" w:color="auto"/>
              <w:right w:val="single" w:sz="4" w:space="0" w:color="auto"/>
            </w:tcBorders>
          </w:tcPr>
          <w:p w14:paraId="689566DE" w14:textId="77777777" w:rsidR="008C4479" w:rsidRPr="00AC3A11" w:rsidRDefault="008C4479" w:rsidP="008C4479">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984A29" w14:textId="77777777" w:rsidR="008C4479" w:rsidRPr="00AC3A11" w:rsidRDefault="008C4479" w:rsidP="008C4479">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B61D5DE" w14:textId="77777777" w:rsidR="008C4479" w:rsidRPr="00AC3A11" w:rsidRDefault="008C4479" w:rsidP="008C4479"/>
        </w:tc>
        <w:tc>
          <w:tcPr>
            <w:tcW w:w="1276" w:type="dxa"/>
            <w:tcBorders>
              <w:top w:val="single" w:sz="4" w:space="0" w:color="auto"/>
              <w:left w:val="single" w:sz="4" w:space="0" w:color="auto"/>
              <w:bottom w:val="single" w:sz="4" w:space="0" w:color="auto"/>
              <w:right w:val="single" w:sz="4" w:space="0" w:color="auto"/>
            </w:tcBorders>
          </w:tcPr>
          <w:p w14:paraId="535690B8" w14:textId="77777777" w:rsidR="008C4479" w:rsidRPr="00AC3A11" w:rsidRDefault="008C4479" w:rsidP="008C4479"/>
        </w:tc>
        <w:tc>
          <w:tcPr>
            <w:tcW w:w="1984" w:type="dxa"/>
            <w:tcBorders>
              <w:top w:val="single" w:sz="4" w:space="0" w:color="auto"/>
              <w:left w:val="single" w:sz="4" w:space="0" w:color="auto"/>
              <w:bottom w:val="single" w:sz="4" w:space="0" w:color="auto"/>
            </w:tcBorders>
          </w:tcPr>
          <w:p w14:paraId="3AFAD256" w14:textId="77777777" w:rsidR="008C4479" w:rsidRPr="00622FF3" w:rsidRDefault="008C4479" w:rsidP="008C4479">
            <w:pPr>
              <w:pStyle w:val="NoSpacing"/>
            </w:pPr>
          </w:p>
        </w:tc>
      </w:tr>
      <w:tr w:rsidR="008C4479" w:rsidRPr="00B64A59" w14:paraId="6646596D"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710E6FAD" w14:textId="77777777" w:rsidR="008C4479" w:rsidRPr="00AC3A11" w:rsidRDefault="008C4479" w:rsidP="008C4479">
            <w:pPr>
              <w:rPr>
                <w:color w:val="000000"/>
              </w:rPr>
            </w:pPr>
            <w:r w:rsidRPr="00AC3A11">
              <w:rPr>
                <w:color w:val="000000"/>
              </w:rPr>
              <w:t>a. Information caravans</w:t>
            </w:r>
            <w:r w:rsidRPr="00AC3A11">
              <w:rPr>
                <w:color w:val="000000"/>
              </w:rPr>
              <w:br/>
              <w:t xml:space="preserve">  (Virtual/Online and Community-based on the Air (radio) conducted by EO December 2021)</w:t>
            </w:r>
          </w:p>
        </w:tc>
        <w:tc>
          <w:tcPr>
            <w:tcW w:w="1543" w:type="dxa"/>
            <w:tcBorders>
              <w:top w:val="single" w:sz="4" w:space="0" w:color="auto"/>
              <w:left w:val="single" w:sz="4" w:space="0" w:color="auto"/>
              <w:bottom w:val="single" w:sz="4" w:space="0" w:color="auto"/>
              <w:right w:val="single" w:sz="4" w:space="0" w:color="auto"/>
            </w:tcBorders>
          </w:tcPr>
          <w:p w14:paraId="51DF2D9E" w14:textId="77777777" w:rsidR="008C4479" w:rsidRPr="00AC3A11" w:rsidRDefault="00AE63F1" w:rsidP="008C4479">
            <w:pPr>
              <w:jc w:val="center"/>
            </w:pPr>
            <w: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E5E448" w14:textId="77777777" w:rsidR="008C4479" w:rsidRPr="00AC3A11" w:rsidRDefault="00AE63F1" w:rsidP="008C4479">
            <w:pPr>
              <w:jc w:val="center"/>
              <w:rPr>
                <w:color w:val="000000"/>
              </w:rPr>
            </w:pPr>
            <w:r>
              <w:rPr>
                <w:color w:val="000000"/>
              </w:rPr>
              <w:t>33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3738EDA" w14:textId="77777777" w:rsidR="008C4479" w:rsidRPr="00AC3A11" w:rsidRDefault="00AE63F1" w:rsidP="008C4479">
            <w:r>
              <w:t>+29</w:t>
            </w:r>
          </w:p>
        </w:tc>
        <w:tc>
          <w:tcPr>
            <w:tcW w:w="1276" w:type="dxa"/>
            <w:tcBorders>
              <w:top w:val="single" w:sz="4" w:space="0" w:color="auto"/>
              <w:left w:val="single" w:sz="4" w:space="0" w:color="auto"/>
              <w:bottom w:val="single" w:sz="4" w:space="0" w:color="auto"/>
              <w:right w:val="single" w:sz="4" w:space="0" w:color="auto"/>
            </w:tcBorders>
          </w:tcPr>
          <w:p w14:paraId="033BFBDE" w14:textId="77777777" w:rsidR="008C4479" w:rsidRPr="00AC3A11" w:rsidRDefault="00AE63F1" w:rsidP="008C4479">
            <w:r>
              <w:t xml:space="preserve">Full Target Achieved </w:t>
            </w:r>
          </w:p>
        </w:tc>
        <w:tc>
          <w:tcPr>
            <w:tcW w:w="1984" w:type="dxa"/>
            <w:tcBorders>
              <w:top w:val="single" w:sz="4" w:space="0" w:color="auto"/>
              <w:left w:val="single" w:sz="4" w:space="0" w:color="auto"/>
              <w:bottom w:val="single" w:sz="4" w:space="0" w:color="auto"/>
            </w:tcBorders>
          </w:tcPr>
          <w:p w14:paraId="2F3A2FBE" w14:textId="77777777" w:rsidR="008C4479" w:rsidRPr="00622FF3" w:rsidRDefault="008C4479" w:rsidP="008C4479">
            <w:pPr>
              <w:pStyle w:val="NoSpacing"/>
            </w:pPr>
          </w:p>
        </w:tc>
      </w:tr>
      <w:tr w:rsidR="008C4479" w:rsidRPr="00B64A59" w14:paraId="3BAA59EC" w14:textId="77777777" w:rsidTr="00023229">
        <w:trPr>
          <w:trHeight w:val="189"/>
        </w:trPr>
        <w:tc>
          <w:tcPr>
            <w:tcW w:w="2280" w:type="dxa"/>
            <w:tcBorders>
              <w:top w:val="single" w:sz="4" w:space="0" w:color="auto"/>
              <w:left w:val="single" w:sz="4" w:space="0" w:color="000000"/>
              <w:bottom w:val="single" w:sz="4" w:space="0" w:color="000000"/>
              <w:right w:val="single" w:sz="4" w:space="0" w:color="000000"/>
            </w:tcBorders>
            <w:shd w:val="clear" w:color="auto" w:fill="auto"/>
          </w:tcPr>
          <w:p w14:paraId="33E18D6E" w14:textId="77777777" w:rsidR="008C4479" w:rsidRPr="00AC3A11" w:rsidRDefault="008C4479" w:rsidP="008C4479">
            <w:pPr>
              <w:rPr>
                <w:color w:val="000000"/>
              </w:rPr>
            </w:pPr>
            <w:r w:rsidRPr="00AC3A11">
              <w:rPr>
                <w:color w:val="000000"/>
              </w:rPr>
              <w:t>b. Issuance of press releases</w:t>
            </w:r>
          </w:p>
        </w:tc>
        <w:tc>
          <w:tcPr>
            <w:tcW w:w="1543" w:type="dxa"/>
            <w:tcBorders>
              <w:top w:val="single" w:sz="4" w:space="0" w:color="auto"/>
              <w:left w:val="single" w:sz="4" w:space="0" w:color="auto"/>
              <w:bottom w:val="single" w:sz="4" w:space="0" w:color="auto"/>
              <w:right w:val="single" w:sz="4" w:space="0" w:color="auto"/>
            </w:tcBorders>
          </w:tcPr>
          <w:p w14:paraId="6EFB7ED6" w14:textId="77777777" w:rsidR="008C4479" w:rsidRPr="00AC3A11" w:rsidRDefault="00AE63F1" w:rsidP="008C4479">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3DDBB1" w14:textId="77777777" w:rsidR="008C4479" w:rsidRPr="00AC3A11" w:rsidRDefault="00AE63F1" w:rsidP="008C4479">
            <w:pPr>
              <w:jc w:val="center"/>
              <w:rPr>
                <w:color w:val="000000"/>
              </w:rPr>
            </w:pPr>
            <w:r>
              <w:rPr>
                <w:color w:val="000000"/>
              </w:rPr>
              <w:t>83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D21EA31" w14:textId="77777777" w:rsidR="008C4479" w:rsidRPr="00AC3A11" w:rsidRDefault="00AE63F1" w:rsidP="008C4479">
            <w:r>
              <w:t>0</w:t>
            </w:r>
          </w:p>
        </w:tc>
        <w:tc>
          <w:tcPr>
            <w:tcW w:w="1276" w:type="dxa"/>
            <w:tcBorders>
              <w:top w:val="single" w:sz="4" w:space="0" w:color="auto"/>
              <w:left w:val="single" w:sz="4" w:space="0" w:color="auto"/>
              <w:bottom w:val="single" w:sz="4" w:space="0" w:color="auto"/>
              <w:right w:val="single" w:sz="4" w:space="0" w:color="auto"/>
            </w:tcBorders>
          </w:tcPr>
          <w:p w14:paraId="1922524A" w14:textId="77777777" w:rsidR="008C4479" w:rsidRPr="00AC3A11" w:rsidRDefault="00AE63F1" w:rsidP="008C4479">
            <w:r>
              <w:t>Full Target Achieved</w:t>
            </w:r>
          </w:p>
        </w:tc>
        <w:tc>
          <w:tcPr>
            <w:tcW w:w="1984" w:type="dxa"/>
            <w:tcBorders>
              <w:top w:val="single" w:sz="4" w:space="0" w:color="auto"/>
              <w:left w:val="single" w:sz="4" w:space="0" w:color="auto"/>
              <w:bottom w:val="single" w:sz="4" w:space="0" w:color="auto"/>
            </w:tcBorders>
          </w:tcPr>
          <w:p w14:paraId="54BB975B" w14:textId="77777777" w:rsidR="008C4479" w:rsidRPr="00622FF3" w:rsidRDefault="008C4479" w:rsidP="008C4479">
            <w:pPr>
              <w:pStyle w:val="NoSpacing"/>
            </w:pPr>
          </w:p>
        </w:tc>
      </w:tr>
      <w:tr w:rsidR="008C4479" w:rsidRPr="00B64A59" w14:paraId="03B09A33"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114880BD" w14:textId="77777777" w:rsidR="008C4479" w:rsidRPr="00AC3A11" w:rsidRDefault="008C4479" w:rsidP="008C4479">
            <w:pPr>
              <w:rPr>
                <w:color w:val="000000"/>
              </w:rPr>
            </w:pPr>
            <w:r w:rsidRPr="00AC3A11">
              <w:rPr>
                <w:color w:val="000000"/>
              </w:rPr>
              <w:t>c. Communication campaig</w:t>
            </w:r>
            <w:r w:rsidR="00AE63F1">
              <w:rPr>
                <w:color w:val="000000"/>
              </w:rPr>
              <w:t xml:space="preserve">ns </w:t>
            </w:r>
            <w:r w:rsidR="00AE63F1">
              <w:rPr>
                <w:color w:val="000000"/>
              </w:rPr>
              <w:br/>
              <w:t xml:space="preserve">  (conducted by end of Dece</w:t>
            </w:r>
            <w:r w:rsidRPr="00AC3A11">
              <w:rPr>
                <w:color w:val="000000"/>
              </w:rPr>
              <w:t>mber 2021)</w:t>
            </w:r>
          </w:p>
        </w:tc>
        <w:tc>
          <w:tcPr>
            <w:tcW w:w="1543" w:type="dxa"/>
            <w:tcBorders>
              <w:top w:val="single" w:sz="4" w:space="0" w:color="auto"/>
              <w:left w:val="single" w:sz="4" w:space="0" w:color="auto"/>
              <w:bottom w:val="single" w:sz="4" w:space="0" w:color="auto"/>
              <w:right w:val="single" w:sz="4" w:space="0" w:color="auto"/>
            </w:tcBorders>
          </w:tcPr>
          <w:p w14:paraId="257F8982" w14:textId="77777777" w:rsidR="008C4479" w:rsidRPr="00AC3A11" w:rsidRDefault="00AE63F1" w:rsidP="008C4479">
            <w:pPr>
              <w:jc w:val="center"/>
            </w:pPr>
            <w: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CB1892" w14:textId="77777777" w:rsidR="008C4479" w:rsidRPr="00AC3A11" w:rsidRDefault="00AE63F1" w:rsidP="008C4479">
            <w:pPr>
              <w:jc w:val="center"/>
              <w:rPr>
                <w:color w:val="000000"/>
              </w:rPr>
            </w:pPr>
            <w:r>
              <w:rPr>
                <w:color w:val="000000"/>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27A5270" w14:textId="77777777" w:rsidR="008C4479" w:rsidRPr="00AC3A11" w:rsidRDefault="00AE63F1" w:rsidP="008C4479">
            <w:r>
              <w:t>+6</w:t>
            </w:r>
          </w:p>
        </w:tc>
        <w:tc>
          <w:tcPr>
            <w:tcW w:w="1276" w:type="dxa"/>
            <w:tcBorders>
              <w:top w:val="single" w:sz="4" w:space="0" w:color="auto"/>
              <w:left w:val="single" w:sz="4" w:space="0" w:color="auto"/>
              <w:bottom w:val="single" w:sz="4" w:space="0" w:color="auto"/>
              <w:right w:val="single" w:sz="4" w:space="0" w:color="auto"/>
            </w:tcBorders>
          </w:tcPr>
          <w:p w14:paraId="79B94B68" w14:textId="77777777" w:rsidR="008C4479" w:rsidRPr="00AC3A11" w:rsidRDefault="00AE63F1" w:rsidP="008C4479">
            <w:r>
              <w:t xml:space="preserve">Full Target Achieved </w:t>
            </w:r>
          </w:p>
        </w:tc>
        <w:tc>
          <w:tcPr>
            <w:tcW w:w="1984" w:type="dxa"/>
            <w:tcBorders>
              <w:top w:val="single" w:sz="4" w:space="0" w:color="auto"/>
              <w:left w:val="single" w:sz="4" w:space="0" w:color="auto"/>
              <w:bottom w:val="single" w:sz="4" w:space="0" w:color="auto"/>
            </w:tcBorders>
          </w:tcPr>
          <w:p w14:paraId="548EC1E0" w14:textId="77777777" w:rsidR="008C4479" w:rsidRPr="00622FF3" w:rsidRDefault="008C4479" w:rsidP="008C4479">
            <w:pPr>
              <w:pStyle w:val="NoSpacing"/>
            </w:pPr>
          </w:p>
        </w:tc>
      </w:tr>
      <w:tr w:rsidR="008C4479" w:rsidRPr="00B64A59" w14:paraId="6AA67076"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2918589E" w14:textId="77777777" w:rsidR="008C4479" w:rsidRPr="00AC3A11" w:rsidRDefault="008C4479" w:rsidP="008C4479">
            <w:pPr>
              <w:rPr>
                <w:color w:val="000000"/>
              </w:rPr>
            </w:pPr>
            <w:r w:rsidRPr="00AC3A11">
              <w:rPr>
                <w:color w:val="000000"/>
              </w:rPr>
              <w:t>d. Number of IEC materials developed</w:t>
            </w:r>
          </w:p>
        </w:tc>
        <w:tc>
          <w:tcPr>
            <w:tcW w:w="1543" w:type="dxa"/>
            <w:tcBorders>
              <w:top w:val="single" w:sz="4" w:space="0" w:color="auto"/>
              <w:left w:val="single" w:sz="4" w:space="0" w:color="auto"/>
              <w:bottom w:val="single" w:sz="4" w:space="0" w:color="auto"/>
              <w:right w:val="single" w:sz="4" w:space="0" w:color="auto"/>
            </w:tcBorders>
          </w:tcPr>
          <w:p w14:paraId="260C60D2" w14:textId="77777777" w:rsidR="008C4479" w:rsidRPr="00AC3A11" w:rsidRDefault="00AE63F1" w:rsidP="008C4479">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EB0D57" w14:textId="77777777" w:rsidR="008C4479" w:rsidRPr="00AC3A11" w:rsidRDefault="00AE63F1" w:rsidP="008C4479">
            <w:pPr>
              <w:jc w:val="center"/>
              <w:rPr>
                <w:color w:val="000000"/>
              </w:rPr>
            </w:pPr>
            <w:r>
              <w:rPr>
                <w:color w:val="000000"/>
              </w:rPr>
              <w:t>225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B6B8D29" w14:textId="77777777" w:rsidR="008C4479" w:rsidRPr="00AC3A11" w:rsidRDefault="00AE63F1" w:rsidP="008C4479">
            <w:r>
              <w:t>0</w:t>
            </w:r>
          </w:p>
        </w:tc>
        <w:tc>
          <w:tcPr>
            <w:tcW w:w="1276" w:type="dxa"/>
            <w:tcBorders>
              <w:top w:val="single" w:sz="4" w:space="0" w:color="auto"/>
              <w:left w:val="single" w:sz="4" w:space="0" w:color="auto"/>
              <w:bottom w:val="single" w:sz="4" w:space="0" w:color="auto"/>
              <w:right w:val="single" w:sz="4" w:space="0" w:color="auto"/>
            </w:tcBorders>
          </w:tcPr>
          <w:p w14:paraId="58132D78" w14:textId="77777777" w:rsidR="008C4479" w:rsidRPr="00AC3A11" w:rsidRDefault="00AE63F1" w:rsidP="008C4479">
            <w:r>
              <w:t xml:space="preserve">Full Target Achieved </w:t>
            </w:r>
          </w:p>
        </w:tc>
        <w:tc>
          <w:tcPr>
            <w:tcW w:w="1984" w:type="dxa"/>
            <w:tcBorders>
              <w:top w:val="single" w:sz="4" w:space="0" w:color="auto"/>
              <w:left w:val="single" w:sz="4" w:space="0" w:color="auto"/>
              <w:bottom w:val="single" w:sz="4" w:space="0" w:color="auto"/>
            </w:tcBorders>
          </w:tcPr>
          <w:p w14:paraId="72C42AAF" w14:textId="77777777" w:rsidR="008C4479" w:rsidRPr="00622FF3" w:rsidRDefault="008C4479" w:rsidP="008C4479">
            <w:pPr>
              <w:pStyle w:val="NoSpacing"/>
            </w:pPr>
          </w:p>
        </w:tc>
      </w:tr>
      <w:tr w:rsidR="008C4479" w:rsidRPr="00B64A59" w14:paraId="760BBE57"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35467F" w14:textId="77777777" w:rsidR="008C4479" w:rsidRPr="00AC3A11" w:rsidRDefault="008C4479" w:rsidP="008C4479">
            <w:pPr>
              <w:rPr>
                <w:b/>
                <w:iCs/>
                <w:color w:val="000000"/>
              </w:rPr>
            </w:pPr>
            <w:r w:rsidRPr="00AC3A11">
              <w:rPr>
                <w:b/>
                <w:iCs/>
                <w:color w:val="000000"/>
              </w:rPr>
              <w:t>Knowledge Management</w:t>
            </w:r>
          </w:p>
        </w:tc>
        <w:tc>
          <w:tcPr>
            <w:tcW w:w="15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DE31A2" w14:textId="77777777" w:rsidR="008C4479" w:rsidRPr="00AC3A11" w:rsidRDefault="008C4479" w:rsidP="008C4479">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22CFDE" w14:textId="77777777" w:rsidR="008C4479" w:rsidRPr="00AC3A11" w:rsidRDefault="008C4479" w:rsidP="008C4479">
            <w:pPr>
              <w:jc w:val="center"/>
              <w:rPr>
                <w:b/>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8D6472" w14:textId="77777777" w:rsidR="008C4479" w:rsidRPr="00AC3A11" w:rsidRDefault="008C4479" w:rsidP="008C4479">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53395D" w14:textId="77777777" w:rsidR="008C4479" w:rsidRPr="00AC3A11" w:rsidRDefault="008C4479" w:rsidP="008C4479">
            <w:pPr>
              <w:rPr>
                <w:b/>
              </w:rPr>
            </w:pPr>
          </w:p>
        </w:tc>
        <w:tc>
          <w:tcPr>
            <w:tcW w:w="1984" w:type="dxa"/>
            <w:tcBorders>
              <w:top w:val="single" w:sz="4" w:space="0" w:color="auto"/>
              <w:left w:val="single" w:sz="4" w:space="0" w:color="auto"/>
              <w:bottom w:val="single" w:sz="4" w:space="0" w:color="auto"/>
            </w:tcBorders>
            <w:shd w:val="clear" w:color="auto" w:fill="DEEAF6" w:themeFill="accent1" w:themeFillTint="33"/>
          </w:tcPr>
          <w:p w14:paraId="23CC775C" w14:textId="77777777" w:rsidR="008C4479" w:rsidRPr="00AC3A11" w:rsidRDefault="008C4479" w:rsidP="008C4479">
            <w:pPr>
              <w:pStyle w:val="NoSpacing"/>
              <w:rPr>
                <w:b/>
              </w:rPr>
            </w:pPr>
          </w:p>
        </w:tc>
      </w:tr>
      <w:tr w:rsidR="008C4479" w:rsidRPr="00B64A59" w14:paraId="26EA54BD"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3B91F91B" w14:textId="77777777" w:rsidR="008C4479" w:rsidRPr="00AC3A11" w:rsidRDefault="008C4479" w:rsidP="008C4479">
            <w:pPr>
              <w:rPr>
                <w:color w:val="000000"/>
              </w:rPr>
            </w:pPr>
            <w:r w:rsidRPr="00AC3A11">
              <w:rPr>
                <w:color w:val="000000"/>
              </w:rPr>
              <w:lastRenderedPageBreak/>
              <w:t>Number of knowledge products on social welfare and development services developed</w:t>
            </w:r>
          </w:p>
        </w:tc>
        <w:tc>
          <w:tcPr>
            <w:tcW w:w="1543" w:type="dxa"/>
            <w:tcBorders>
              <w:top w:val="single" w:sz="4" w:space="0" w:color="auto"/>
              <w:left w:val="single" w:sz="4" w:space="0" w:color="auto"/>
              <w:bottom w:val="single" w:sz="4" w:space="0" w:color="auto"/>
              <w:right w:val="single" w:sz="4" w:space="0" w:color="auto"/>
            </w:tcBorders>
          </w:tcPr>
          <w:p w14:paraId="6A0E510E" w14:textId="77777777" w:rsidR="008C4479" w:rsidRPr="00AC3A11" w:rsidRDefault="00AE63F1" w:rsidP="008C4479">
            <w:pPr>
              <w:jc w:val="center"/>
            </w:pPr>
            <w: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487488" w14:textId="77777777" w:rsidR="008C4479" w:rsidRPr="00AC3A11" w:rsidRDefault="00AE63F1" w:rsidP="008C4479">
            <w:pPr>
              <w:jc w:val="center"/>
              <w:rPr>
                <w:color w:val="000000"/>
              </w:rPr>
            </w:pPr>
            <w:r>
              <w:rPr>
                <w:color w:val="000000"/>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0AB5534" w14:textId="77777777" w:rsidR="008C4479" w:rsidRPr="00AC3A11" w:rsidRDefault="00AE63F1" w:rsidP="008C4479">
            <w:r>
              <w:t>-1</w:t>
            </w:r>
          </w:p>
        </w:tc>
        <w:tc>
          <w:tcPr>
            <w:tcW w:w="1276" w:type="dxa"/>
            <w:tcBorders>
              <w:top w:val="single" w:sz="4" w:space="0" w:color="auto"/>
              <w:left w:val="single" w:sz="4" w:space="0" w:color="auto"/>
              <w:bottom w:val="single" w:sz="4" w:space="0" w:color="auto"/>
              <w:right w:val="single" w:sz="4" w:space="0" w:color="auto"/>
            </w:tcBorders>
          </w:tcPr>
          <w:p w14:paraId="77F096E3" w14:textId="77777777" w:rsidR="008C4479" w:rsidRPr="00AC3A11" w:rsidRDefault="00AE63F1" w:rsidP="008C4479">
            <w:r>
              <w:t>Major Deviation</w:t>
            </w:r>
          </w:p>
        </w:tc>
        <w:tc>
          <w:tcPr>
            <w:tcW w:w="1984" w:type="dxa"/>
            <w:tcBorders>
              <w:top w:val="single" w:sz="4" w:space="0" w:color="auto"/>
              <w:left w:val="single" w:sz="4" w:space="0" w:color="auto"/>
              <w:bottom w:val="single" w:sz="4" w:space="0" w:color="auto"/>
            </w:tcBorders>
          </w:tcPr>
          <w:p w14:paraId="63D96AFD" w14:textId="77777777" w:rsidR="008C4479" w:rsidRPr="00622FF3" w:rsidRDefault="008C4479" w:rsidP="008C4479">
            <w:pPr>
              <w:pStyle w:val="NoSpacing"/>
            </w:pPr>
          </w:p>
        </w:tc>
      </w:tr>
      <w:tr w:rsidR="008C4479" w:rsidRPr="00B64A59" w14:paraId="1AF2FE85" w14:textId="77777777" w:rsidTr="00023229">
        <w:trPr>
          <w:trHeight w:val="56"/>
        </w:trPr>
        <w:tc>
          <w:tcPr>
            <w:tcW w:w="2280" w:type="dxa"/>
            <w:tcBorders>
              <w:top w:val="nil"/>
              <w:left w:val="single" w:sz="4" w:space="0" w:color="000000"/>
              <w:bottom w:val="single" w:sz="4" w:space="0" w:color="auto"/>
              <w:right w:val="single" w:sz="4" w:space="0" w:color="000000"/>
            </w:tcBorders>
            <w:shd w:val="clear" w:color="auto" w:fill="auto"/>
          </w:tcPr>
          <w:p w14:paraId="06C18E8F" w14:textId="77777777" w:rsidR="008C4479" w:rsidRPr="00AC3A11" w:rsidRDefault="008C4479" w:rsidP="00AE63F1">
            <w:pPr>
              <w:rPr>
                <w:color w:val="000000"/>
              </w:rPr>
            </w:pPr>
            <w:r w:rsidRPr="00AC3A11">
              <w:rPr>
                <w:color w:val="000000"/>
              </w:rPr>
              <w:t xml:space="preserve">Number of </w:t>
            </w:r>
            <w:r w:rsidR="00AE63F1">
              <w:rPr>
                <w:color w:val="000000"/>
              </w:rPr>
              <w:t>knowledge-sharing</w:t>
            </w:r>
            <w:r w:rsidRPr="00AC3A11">
              <w:rPr>
                <w:color w:val="000000"/>
              </w:rPr>
              <w:t xml:space="preserve"> sessions conducted</w:t>
            </w:r>
          </w:p>
        </w:tc>
        <w:tc>
          <w:tcPr>
            <w:tcW w:w="1543" w:type="dxa"/>
            <w:tcBorders>
              <w:top w:val="single" w:sz="4" w:space="0" w:color="auto"/>
              <w:left w:val="single" w:sz="4" w:space="0" w:color="auto"/>
              <w:bottom w:val="single" w:sz="4" w:space="0" w:color="auto"/>
              <w:right w:val="single" w:sz="4" w:space="0" w:color="auto"/>
            </w:tcBorders>
          </w:tcPr>
          <w:p w14:paraId="4A86CAC2" w14:textId="77777777" w:rsidR="008C4479" w:rsidRPr="00AC3A11" w:rsidRDefault="00AE63F1" w:rsidP="008C4479">
            <w:pPr>
              <w:jc w:val="center"/>
            </w:pPr>
            <w: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1D40E8" w14:textId="77777777" w:rsidR="008C4479" w:rsidRPr="00AC3A11" w:rsidRDefault="00AE63F1" w:rsidP="008C4479">
            <w:pPr>
              <w:jc w:val="center"/>
              <w:rPr>
                <w:color w:val="000000"/>
              </w:rPr>
            </w:pPr>
            <w:r>
              <w:rPr>
                <w:color w:val="000000"/>
              </w:rPr>
              <w:t>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D4FC23F" w14:textId="77777777" w:rsidR="008C4479" w:rsidRPr="00AC3A11" w:rsidRDefault="00AE63F1" w:rsidP="008C4479">
            <w:r>
              <w:t>+9</w:t>
            </w:r>
          </w:p>
        </w:tc>
        <w:tc>
          <w:tcPr>
            <w:tcW w:w="1276" w:type="dxa"/>
            <w:tcBorders>
              <w:top w:val="single" w:sz="4" w:space="0" w:color="auto"/>
              <w:left w:val="single" w:sz="4" w:space="0" w:color="auto"/>
              <w:bottom w:val="single" w:sz="4" w:space="0" w:color="auto"/>
              <w:right w:val="single" w:sz="4" w:space="0" w:color="auto"/>
            </w:tcBorders>
          </w:tcPr>
          <w:p w14:paraId="27DBCD0B" w14:textId="77777777" w:rsidR="008C4479" w:rsidRPr="00AC3A11" w:rsidRDefault="00AE63F1" w:rsidP="008C4479">
            <w:r>
              <w:t xml:space="preserve">Full Target Achieved </w:t>
            </w:r>
          </w:p>
        </w:tc>
        <w:tc>
          <w:tcPr>
            <w:tcW w:w="1984" w:type="dxa"/>
            <w:tcBorders>
              <w:top w:val="single" w:sz="4" w:space="0" w:color="auto"/>
              <w:left w:val="single" w:sz="4" w:space="0" w:color="auto"/>
              <w:bottom w:val="single" w:sz="4" w:space="0" w:color="auto"/>
            </w:tcBorders>
          </w:tcPr>
          <w:p w14:paraId="3655F70A" w14:textId="77777777" w:rsidR="008C4479" w:rsidRPr="00622FF3" w:rsidRDefault="008C4479" w:rsidP="008C4479">
            <w:pPr>
              <w:pStyle w:val="NoSpacing"/>
            </w:pPr>
          </w:p>
        </w:tc>
      </w:tr>
      <w:tr w:rsidR="008C4479" w:rsidRPr="00B64A59" w14:paraId="617CC2E9" w14:textId="77777777" w:rsidTr="00023229">
        <w:trPr>
          <w:trHeight w:val="189"/>
        </w:trPr>
        <w:tc>
          <w:tcPr>
            <w:tcW w:w="10201" w:type="dxa"/>
            <w:gridSpan w:val="7"/>
            <w:tcBorders>
              <w:top w:val="single" w:sz="4" w:space="0" w:color="auto"/>
              <w:left w:val="single" w:sz="4" w:space="0" w:color="auto"/>
              <w:bottom w:val="single" w:sz="4" w:space="0" w:color="auto"/>
            </w:tcBorders>
            <w:shd w:val="clear" w:color="auto" w:fill="auto"/>
          </w:tcPr>
          <w:p w14:paraId="771AFD85" w14:textId="77777777" w:rsidR="008C4479" w:rsidRPr="00AC3A11" w:rsidRDefault="008C4479" w:rsidP="008C4479">
            <w:pPr>
              <w:pStyle w:val="NoSpacing"/>
              <w:rPr>
                <w:b/>
              </w:rPr>
            </w:pPr>
          </w:p>
        </w:tc>
      </w:tr>
      <w:tr w:rsidR="008C4479" w:rsidRPr="00B64A59" w14:paraId="7B8E355D" w14:textId="77777777" w:rsidTr="00023229">
        <w:trPr>
          <w:trHeight w:val="189"/>
        </w:trPr>
        <w:tc>
          <w:tcPr>
            <w:tcW w:w="10201" w:type="dxa"/>
            <w:gridSpan w:val="7"/>
            <w:tcBorders>
              <w:top w:val="single" w:sz="4" w:space="0" w:color="auto"/>
              <w:left w:val="single" w:sz="4" w:space="0" w:color="auto"/>
              <w:bottom w:val="single" w:sz="4" w:space="0" w:color="auto"/>
            </w:tcBorders>
            <w:shd w:val="clear" w:color="auto" w:fill="DEEAF6" w:themeFill="accent1" w:themeFillTint="33"/>
          </w:tcPr>
          <w:p w14:paraId="0A4E5E8E" w14:textId="77777777" w:rsidR="008C4479" w:rsidRPr="00AC3A11" w:rsidRDefault="008C4479" w:rsidP="008C4479">
            <w:pPr>
              <w:pStyle w:val="NoSpacing"/>
              <w:rPr>
                <w:b/>
              </w:rPr>
            </w:pPr>
          </w:p>
        </w:tc>
      </w:tr>
      <w:tr w:rsidR="008C4479" w:rsidRPr="00B64A59" w14:paraId="2ECB24CA"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A23171" w14:textId="77777777" w:rsidR="008C4479" w:rsidRPr="00AC3A11" w:rsidRDefault="008C4479" w:rsidP="008C4479">
            <w:pPr>
              <w:rPr>
                <w:color w:val="000000"/>
              </w:rPr>
            </w:pPr>
            <w:r w:rsidRPr="00AC3A11">
              <w:rPr>
                <w:color w:val="000000"/>
              </w:rPr>
              <w:t>7.1. Percentage of positions filled-up</w:t>
            </w:r>
          </w:p>
        </w:tc>
        <w:tc>
          <w:tcPr>
            <w:tcW w:w="1543" w:type="dxa"/>
            <w:tcBorders>
              <w:top w:val="single" w:sz="4" w:space="0" w:color="auto"/>
              <w:left w:val="single" w:sz="4" w:space="0" w:color="auto"/>
              <w:bottom w:val="single" w:sz="4" w:space="0" w:color="auto"/>
              <w:right w:val="single" w:sz="4" w:space="0" w:color="auto"/>
            </w:tcBorders>
          </w:tcPr>
          <w:p w14:paraId="7E4F6AE1" w14:textId="77777777" w:rsidR="008C4479" w:rsidRDefault="00AE63F1" w:rsidP="008C4479">
            <w:pPr>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C427BC" w14:textId="77777777" w:rsidR="008C4479" w:rsidRDefault="00AE63F1" w:rsidP="008C4479">
            <w:pPr>
              <w:jc w:val="center"/>
              <w:rPr>
                <w:color w:val="000000"/>
              </w:rPr>
            </w:pPr>
            <w:r>
              <w:rPr>
                <w:color w:val="000000"/>
              </w:rPr>
              <w:t>110.12%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B3523A6" w14:textId="77777777" w:rsidR="008C4479" w:rsidRDefault="002B02D5" w:rsidP="008C4479">
            <w:r>
              <w:t>+10.12</w:t>
            </w:r>
          </w:p>
        </w:tc>
        <w:tc>
          <w:tcPr>
            <w:tcW w:w="1276" w:type="dxa"/>
            <w:tcBorders>
              <w:top w:val="single" w:sz="4" w:space="0" w:color="auto"/>
              <w:left w:val="single" w:sz="4" w:space="0" w:color="auto"/>
              <w:bottom w:val="single" w:sz="4" w:space="0" w:color="auto"/>
              <w:right w:val="single" w:sz="4" w:space="0" w:color="auto"/>
            </w:tcBorders>
          </w:tcPr>
          <w:p w14:paraId="50A574AA" w14:textId="77777777" w:rsidR="008C4479" w:rsidRPr="00EB000F" w:rsidRDefault="002B02D5" w:rsidP="008C4479">
            <w:r>
              <w:t xml:space="preserve">Full Target Achieved </w:t>
            </w:r>
          </w:p>
        </w:tc>
        <w:tc>
          <w:tcPr>
            <w:tcW w:w="1984" w:type="dxa"/>
            <w:tcBorders>
              <w:top w:val="single" w:sz="4" w:space="0" w:color="auto"/>
              <w:left w:val="single" w:sz="4" w:space="0" w:color="auto"/>
              <w:bottom w:val="single" w:sz="4" w:space="0" w:color="auto"/>
            </w:tcBorders>
          </w:tcPr>
          <w:p w14:paraId="76798408" w14:textId="77777777" w:rsidR="008C4479" w:rsidRPr="00622FF3" w:rsidRDefault="008C4479" w:rsidP="008C4479">
            <w:pPr>
              <w:pStyle w:val="NoSpacing"/>
            </w:pPr>
          </w:p>
        </w:tc>
      </w:tr>
      <w:tr w:rsidR="008C4479" w:rsidRPr="00B64A59" w14:paraId="5812664A"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424F12DA" w14:textId="77777777" w:rsidR="008C4479" w:rsidRPr="00AC3A11" w:rsidRDefault="008C4479" w:rsidP="008C4479">
            <w:pPr>
              <w:rPr>
                <w:iCs/>
                <w:color w:val="000000"/>
              </w:rPr>
            </w:pPr>
            <w:r w:rsidRPr="00AC3A11">
              <w:rPr>
                <w:iCs/>
                <w:color w:val="000000"/>
              </w:rPr>
              <w:t>No. of Positions Filled up</w:t>
            </w:r>
          </w:p>
        </w:tc>
        <w:tc>
          <w:tcPr>
            <w:tcW w:w="1543" w:type="dxa"/>
            <w:tcBorders>
              <w:top w:val="single" w:sz="4" w:space="0" w:color="auto"/>
              <w:left w:val="single" w:sz="4" w:space="0" w:color="auto"/>
              <w:bottom w:val="single" w:sz="4" w:space="0" w:color="auto"/>
              <w:right w:val="single" w:sz="4" w:space="0" w:color="auto"/>
            </w:tcBorders>
          </w:tcPr>
          <w:p w14:paraId="6E931B3F" w14:textId="77777777" w:rsidR="008C4479" w:rsidRDefault="00AE63F1" w:rsidP="008C4479">
            <w:pPr>
              <w:jc w:val="center"/>
            </w:pPr>
            <w:r>
              <w:t>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8928DD" w14:textId="77777777" w:rsidR="008C4479" w:rsidRDefault="00AE63F1" w:rsidP="008C4479">
            <w:pPr>
              <w:jc w:val="center"/>
              <w:rPr>
                <w:color w:val="000000"/>
              </w:rPr>
            </w:pPr>
            <w:r>
              <w:rPr>
                <w:color w:val="000000"/>
              </w:rPr>
              <w:t>194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4F16C31" w14:textId="77777777" w:rsidR="008C4479" w:rsidRDefault="00DB3F49" w:rsidP="008C4479">
            <w:r>
              <w:t>+173</w:t>
            </w:r>
          </w:p>
        </w:tc>
        <w:tc>
          <w:tcPr>
            <w:tcW w:w="1276" w:type="dxa"/>
            <w:tcBorders>
              <w:top w:val="single" w:sz="4" w:space="0" w:color="auto"/>
              <w:left w:val="single" w:sz="4" w:space="0" w:color="auto"/>
              <w:bottom w:val="single" w:sz="4" w:space="0" w:color="auto"/>
              <w:right w:val="single" w:sz="4" w:space="0" w:color="auto"/>
            </w:tcBorders>
          </w:tcPr>
          <w:p w14:paraId="4CD07FB2" w14:textId="77777777" w:rsidR="008C4479" w:rsidRPr="00EB000F" w:rsidRDefault="00DB3F49" w:rsidP="008C4479">
            <w:r>
              <w:t xml:space="preserve">Full Target Achieved </w:t>
            </w:r>
          </w:p>
        </w:tc>
        <w:tc>
          <w:tcPr>
            <w:tcW w:w="1984" w:type="dxa"/>
            <w:tcBorders>
              <w:top w:val="single" w:sz="4" w:space="0" w:color="auto"/>
              <w:left w:val="single" w:sz="4" w:space="0" w:color="auto"/>
              <w:bottom w:val="single" w:sz="4" w:space="0" w:color="auto"/>
            </w:tcBorders>
          </w:tcPr>
          <w:p w14:paraId="75BFBF14" w14:textId="77777777" w:rsidR="008C4479" w:rsidRPr="00622FF3" w:rsidRDefault="008C4479" w:rsidP="008C4479">
            <w:pPr>
              <w:pStyle w:val="NoSpacing"/>
            </w:pPr>
          </w:p>
        </w:tc>
      </w:tr>
      <w:tr w:rsidR="00DB3F49" w:rsidRPr="00B64A59" w14:paraId="1E1E3CA4"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54EB00D2" w14:textId="77777777" w:rsidR="00DB3F49" w:rsidRPr="00AC3A11" w:rsidRDefault="00DB3F49" w:rsidP="00DB3F49">
            <w:pPr>
              <w:jc w:val="right"/>
              <w:rPr>
                <w:iCs/>
                <w:color w:val="000000"/>
              </w:rPr>
            </w:pPr>
            <w:r w:rsidRPr="00AC3A11">
              <w:rPr>
                <w:iCs/>
                <w:color w:val="000000"/>
              </w:rPr>
              <w:t>Male</w:t>
            </w:r>
          </w:p>
        </w:tc>
        <w:tc>
          <w:tcPr>
            <w:tcW w:w="1543" w:type="dxa"/>
            <w:tcBorders>
              <w:top w:val="single" w:sz="4" w:space="0" w:color="auto"/>
              <w:left w:val="single" w:sz="4" w:space="0" w:color="auto"/>
              <w:bottom w:val="single" w:sz="4" w:space="0" w:color="auto"/>
              <w:right w:val="single" w:sz="4" w:space="0" w:color="auto"/>
            </w:tcBorders>
          </w:tcPr>
          <w:p w14:paraId="568B4D42" w14:textId="77777777" w:rsidR="00DB3F49" w:rsidRDefault="00DB3F49" w:rsidP="00DB3F49">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1FB611" w14:textId="77777777" w:rsidR="00DB3F49" w:rsidRDefault="00DB3F49" w:rsidP="00DB3F49">
            <w:pPr>
              <w:jc w:val="center"/>
              <w:rPr>
                <w:color w:val="000000"/>
              </w:rPr>
            </w:pPr>
            <w:r>
              <w:rPr>
                <w:color w:val="000000"/>
              </w:rPr>
              <w:t>88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09882E5" w14:textId="77777777" w:rsidR="00DB3F49" w:rsidRDefault="00DB3F49" w:rsidP="00DB3F49"/>
        </w:tc>
        <w:tc>
          <w:tcPr>
            <w:tcW w:w="1276" w:type="dxa"/>
            <w:tcBorders>
              <w:top w:val="single" w:sz="4" w:space="0" w:color="auto"/>
              <w:left w:val="single" w:sz="4" w:space="0" w:color="auto"/>
              <w:bottom w:val="single" w:sz="4" w:space="0" w:color="auto"/>
              <w:right w:val="single" w:sz="4" w:space="0" w:color="auto"/>
            </w:tcBorders>
          </w:tcPr>
          <w:p w14:paraId="45E24111" w14:textId="77777777" w:rsidR="00DB3F49" w:rsidRDefault="00DB3F49" w:rsidP="00DB3F49">
            <w:r w:rsidRPr="007D33DC">
              <w:t xml:space="preserve">Full Target Achieved </w:t>
            </w:r>
          </w:p>
        </w:tc>
        <w:tc>
          <w:tcPr>
            <w:tcW w:w="1984" w:type="dxa"/>
            <w:tcBorders>
              <w:top w:val="single" w:sz="4" w:space="0" w:color="auto"/>
              <w:left w:val="single" w:sz="4" w:space="0" w:color="auto"/>
              <w:bottom w:val="single" w:sz="4" w:space="0" w:color="auto"/>
            </w:tcBorders>
          </w:tcPr>
          <w:p w14:paraId="13E6F3A8" w14:textId="77777777" w:rsidR="00DB3F49" w:rsidRPr="00622FF3" w:rsidRDefault="00DB3F49" w:rsidP="00DB3F49">
            <w:pPr>
              <w:pStyle w:val="NoSpacing"/>
            </w:pPr>
          </w:p>
        </w:tc>
      </w:tr>
      <w:tr w:rsidR="00DB3F49" w:rsidRPr="00B64A59" w14:paraId="62DF0562"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0909136F" w14:textId="77777777" w:rsidR="00DB3F49" w:rsidRPr="00AC3A11" w:rsidRDefault="00DB3F49" w:rsidP="00DB3F49">
            <w:pPr>
              <w:jc w:val="right"/>
              <w:rPr>
                <w:iCs/>
                <w:color w:val="000000"/>
              </w:rPr>
            </w:pPr>
            <w:r w:rsidRPr="00AC3A11">
              <w:rPr>
                <w:iCs/>
                <w:color w:val="000000"/>
              </w:rPr>
              <w:t>Female</w:t>
            </w:r>
          </w:p>
        </w:tc>
        <w:tc>
          <w:tcPr>
            <w:tcW w:w="1543" w:type="dxa"/>
            <w:tcBorders>
              <w:top w:val="single" w:sz="4" w:space="0" w:color="auto"/>
              <w:left w:val="single" w:sz="4" w:space="0" w:color="auto"/>
              <w:bottom w:val="single" w:sz="4" w:space="0" w:color="auto"/>
              <w:right w:val="single" w:sz="4" w:space="0" w:color="auto"/>
            </w:tcBorders>
          </w:tcPr>
          <w:p w14:paraId="3C3B311D" w14:textId="77777777" w:rsidR="00DB3F49" w:rsidRDefault="00DB3F49" w:rsidP="00DB3F49">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D7EA52" w14:textId="77777777" w:rsidR="00DB3F49" w:rsidRDefault="00DB3F49" w:rsidP="00DB3F49">
            <w:pPr>
              <w:jc w:val="center"/>
              <w:rPr>
                <w:color w:val="000000"/>
              </w:rPr>
            </w:pPr>
            <w:r>
              <w:rPr>
                <w:color w:val="000000"/>
              </w:rPr>
              <w:t>106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7451BE4" w14:textId="77777777" w:rsidR="00DB3F49" w:rsidRDefault="00DB3F49" w:rsidP="00DB3F49"/>
        </w:tc>
        <w:tc>
          <w:tcPr>
            <w:tcW w:w="1276" w:type="dxa"/>
            <w:tcBorders>
              <w:top w:val="single" w:sz="4" w:space="0" w:color="auto"/>
              <w:left w:val="single" w:sz="4" w:space="0" w:color="auto"/>
              <w:bottom w:val="single" w:sz="4" w:space="0" w:color="auto"/>
              <w:right w:val="single" w:sz="4" w:space="0" w:color="auto"/>
            </w:tcBorders>
          </w:tcPr>
          <w:p w14:paraId="014BB3FA" w14:textId="77777777" w:rsidR="00DB3F49" w:rsidRDefault="00DB3F49" w:rsidP="00DB3F49">
            <w:r w:rsidRPr="007D33DC">
              <w:t xml:space="preserve">Full Target Achieved </w:t>
            </w:r>
          </w:p>
        </w:tc>
        <w:tc>
          <w:tcPr>
            <w:tcW w:w="1984" w:type="dxa"/>
            <w:tcBorders>
              <w:top w:val="single" w:sz="4" w:space="0" w:color="auto"/>
              <w:left w:val="single" w:sz="4" w:space="0" w:color="auto"/>
              <w:bottom w:val="single" w:sz="4" w:space="0" w:color="auto"/>
            </w:tcBorders>
          </w:tcPr>
          <w:p w14:paraId="50442F7F" w14:textId="77777777" w:rsidR="00DB3F49" w:rsidRPr="00622FF3" w:rsidRDefault="00DB3F49" w:rsidP="00DB3F49">
            <w:pPr>
              <w:pStyle w:val="NoSpacing"/>
            </w:pPr>
          </w:p>
        </w:tc>
      </w:tr>
      <w:tr w:rsidR="00DB3F49" w:rsidRPr="00B64A59" w14:paraId="10A331B6"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20DE7BA3" w14:textId="77777777" w:rsidR="00DB3F49" w:rsidRPr="00AC3A11" w:rsidRDefault="00DB3F49" w:rsidP="00DB3F49">
            <w:pPr>
              <w:rPr>
                <w:iCs/>
                <w:color w:val="000000"/>
              </w:rPr>
            </w:pPr>
            <w:r w:rsidRPr="00AC3A11">
              <w:rPr>
                <w:iCs/>
                <w:color w:val="000000"/>
              </w:rPr>
              <w:t>Total no. of Positions with Request for Posting( As of Dec. 31, 20</w:t>
            </w:r>
            <w:r>
              <w:rPr>
                <w:iCs/>
                <w:color w:val="000000"/>
              </w:rPr>
              <w:t>21</w:t>
            </w:r>
            <w:r w:rsidRPr="00AC3A11">
              <w:rPr>
                <w:iCs/>
                <w:color w:val="000000"/>
              </w:rPr>
              <w:t>)</w:t>
            </w:r>
          </w:p>
        </w:tc>
        <w:tc>
          <w:tcPr>
            <w:tcW w:w="1543" w:type="dxa"/>
            <w:tcBorders>
              <w:top w:val="single" w:sz="4" w:space="0" w:color="auto"/>
              <w:left w:val="single" w:sz="4" w:space="0" w:color="auto"/>
              <w:bottom w:val="single" w:sz="4" w:space="0" w:color="auto"/>
              <w:right w:val="single" w:sz="4" w:space="0" w:color="auto"/>
            </w:tcBorders>
          </w:tcPr>
          <w:p w14:paraId="1239D96F" w14:textId="77777777" w:rsidR="00DB3F49" w:rsidRDefault="00DB3F49" w:rsidP="00DB3F49">
            <w:pPr>
              <w:jc w:val="center"/>
            </w:pPr>
            <w:r>
              <w:t>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73A29" w14:textId="77777777" w:rsidR="00DB3F49" w:rsidRDefault="00DB3F49" w:rsidP="00DB3F49">
            <w:pPr>
              <w:jc w:val="center"/>
              <w:rPr>
                <w:color w:val="000000"/>
              </w:rPr>
            </w:pPr>
            <w:r>
              <w:rPr>
                <w:color w:val="000000"/>
              </w:rPr>
              <w:t>188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D5F11A2" w14:textId="77777777" w:rsidR="00DB3F49" w:rsidRDefault="00DB3F49" w:rsidP="00DB3F49">
            <w:r>
              <w:t>+167</w:t>
            </w:r>
          </w:p>
        </w:tc>
        <w:tc>
          <w:tcPr>
            <w:tcW w:w="1276" w:type="dxa"/>
            <w:tcBorders>
              <w:top w:val="single" w:sz="4" w:space="0" w:color="auto"/>
              <w:left w:val="single" w:sz="4" w:space="0" w:color="auto"/>
              <w:bottom w:val="single" w:sz="4" w:space="0" w:color="auto"/>
              <w:right w:val="single" w:sz="4" w:space="0" w:color="auto"/>
            </w:tcBorders>
          </w:tcPr>
          <w:p w14:paraId="03344C6C" w14:textId="77777777" w:rsidR="00DB3F49" w:rsidRDefault="00DB3F49" w:rsidP="00DB3F49">
            <w:r w:rsidRPr="007D33DC">
              <w:t xml:space="preserve">Full Target Achieved </w:t>
            </w:r>
          </w:p>
        </w:tc>
        <w:tc>
          <w:tcPr>
            <w:tcW w:w="1984" w:type="dxa"/>
            <w:tcBorders>
              <w:top w:val="single" w:sz="4" w:space="0" w:color="auto"/>
              <w:left w:val="single" w:sz="4" w:space="0" w:color="auto"/>
              <w:bottom w:val="single" w:sz="4" w:space="0" w:color="auto"/>
            </w:tcBorders>
          </w:tcPr>
          <w:p w14:paraId="0864732D" w14:textId="77777777" w:rsidR="00DB3F49" w:rsidRPr="00622FF3" w:rsidRDefault="00DB3F49" w:rsidP="00DB3F49">
            <w:pPr>
              <w:pStyle w:val="NoSpacing"/>
            </w:pPr>
          </w:p>
        </w:tc>
      </w:tr>
      <w:tr w:rsidR="008C4479" w:rsidRPr="00B64A59" w14:paraId="1E38F889" w14:textId="77777777" w:rsidTr="00023229">
        <w:trPr>
          <w:trHeight w:val="189"/>
        </w:trPr>
        <w:tc>
          <w:tcPr>
            <w:tcW w:w="2280"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FB6CB9A" w14:textId="77777777" w:rsidR="008C4479" w:rsidRDefault="008C4479" w:rsidP="008C4479">
            <w:pPr>
              <w:rPr>
                <w:color w:val="000000"/>
              </w:rPr>
            </w:pPr>
            <w:r>
              <w:rPr>
                <w:color w:val="000000"/>
              </w:rPr>
              <w:t>7.2. Percentage of regular staff provided with at least 1 learning and development intervention</w:t>
            </w:r>
          </w:p>
        </w:tc>
        <w:tc>
          <w:tcPr>
            <w:tcW w:w="1543" w:type="dxa"/>
            <w:tcBorders>
              <w:top w:val="single" w:sz="4" w:space="0" w:color="auto"/>
              <w:left w:val="single" w:sz="4" w:space="0" w:color="auto"/>
              <w:bottom w:val="single" w:sz="4" w:space="0" w:color="auto"/>
              <w:right w:val="single" w:sz="4" w:space="0" w:color="auto"/>
            </w:tcBorders>
          </w:tcPr>
          <w:p w14:paraId="02ADC241" w14:textId="77777777" w:rsidR="008C4479" w:rsidRDefault="00AE63F1" w:rsidP="008C4479">
            <w:pPr>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01F79A" w14:textId="77777777" w:rsidR="008C4479" w:rsidRDefault="00AE63F1" w:rsidP="008C4479">
            <w:pPr>
              <w:jc w:val="center"/>
              <w:rPr>
                <w:color w:val="000000"/>
              </w:rPr>
            </w:pPr>
            <w:r>
              <w:rPr>
                <w:color w:val="000000"/>
              </w:rPr>
              <w:t>510%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984AD6E" w14:textId="77777777" w:rsidR="008C4479" w:rsidRDefault="00DB3F49" w:rsidP="008C4479">
            <w:r>
              <w:t>410%</w:t>
            </w:r>
          </w:p>
        </w:tc>
        <w:tc>
          <w:tcPr>
            <w:tcW w:w="1276" w:type="dxa"/>
            <w:tcBorders>
              <w:top w:val="single" w:sz="4" w:space="0" w:color="auto"/>
              <w:left w:val="single" w:sz="4" w:space="0" w:color="auto"/>
              <w:bottom w:val="single" w:sz="4" w:space="0" w:color="auto"/>
              <w:right w:val="single" w:sz="4" w:space="0" w:color="auto"/>
            </w:tcBorders>
          </w:tcPr>
          <w:p w14:paraId="21FE47AE" w14:textId="77777777" w:rsidR="008C4479" w:rsidRPr="00EB000F" w:rsidRDefault="00DB3F49" w:rsidP="008C4479">
            <w:r>
              <w:t xml:space="preserve">Full Target Achieved </w:t>
            </w:r>
          </w:p>
        </w:tc>
        <w:tc>
          <w:tcPr>
            <w:tcW w:w="1984" w:type="dxa"/>
            <w:tcBorders>
              <w:top w:val="single" w:sz="4" w:space="0" w:color="auto"/>
              <w:left w:val="single" w:sz="4" w:space="0" w:color="auto"/>
              <w:bottom w:val="single" w:sz="4" w:space="0" w:color="auto"/>
            </w:tcBorders>
          </w:tcPr>
          <w:p w14:paraId="33109536" w14:textId="77777777" w:rsidR="008C4479" w:rsidRPr="00622FF3" w:rsidRDefault="008C4479" w:rsidP="008C4479">
            <w:pPr>
              <w:pStyle w:val="NoSpacing"/>
            </w:pPr>
          </w:p>
        </w:tc>
      </w:tr>
      <w:tr w:rsidR="008C4479" w:rsidRPr="00B64A59" w14:paraId="75A1149B"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0AA350ED" w14:textId="77777777" w:rsidR="008C4479" w:rsidRDefault="008C4479" w:rsidP="008C4479">
            <w:pPr>
              <w:rPr>
                <w:i/>
                <w:iCs/>
                <w:color w:val="000000"/>
              </w:rPr>
            </w:pPr>
            <w:r>
              <w:rPr>
                <w:i/>
                <w:iCs/>
                <w:color w:val="000000"/>
              </w:rPr>
              <w:t>No.of Staff Provided with Learning and Development Interventions</w:t>
            </w:r>
          </w:p>
        </w:tc>
        <w:tc>
          <w:tcPr>
            <w:tcW w:w="1543" w:type="dxa"/>
            <w:tcBorders>
              <w:top w:val="single" w:sz="4" w:space="0" w:color="auto"/>
              <w:left w:val="single" w:sz="4" w:space="0" w:color="auto"/>
              <w:bottom w:val="single" w:sz="4" w:space="0" w:color="auto"/>
              <w:right w:val="single" w:sz="4" w:space="0" w:color="auto"/>
            </w:tcBorders>
          </w:tcPr>
          <w:p w14:paraId="36644D92" w14:textId="77777777" w:rsidR="008C4479" w:rsidRDefault="00AE63F1" w:rsidP="008C4479">
            <w:pPr>
              <w:jc w:val="center"/>
            </w:pPr>
            <w:r>
              <w:t>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0099BA" w14:textId="77777777" w:rsidR="008C4479" w:rsidRDefault="00AE63F1" w:rsidP="008C4479">
            <w:pPr>
              <w:jc w:val="center"/>
              <w:rPr>
                <w:color w:val="000000"/>
              </w:rPr>
            </w:pPr>
            <w:r>
              <w:rPr>
                <w:color w:val="000000"/>
              </w:rPr>
              <w:t>500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F165D8B" w14:textId="77777777" w:rsidR="008C4479" w:rsidRDefault="00DB3F49" w:rsidP="008C4479">
            <w:r>
              <w:t>492</w:t>
            </w:r>
          </w:p>
        </w:tc>
        <w:tc>
          <w:tcPr>
            <w:tcW w:w="1276" w:type="dxa"/>
            <w:tcBorders>
              <w:top w:val="single" w:sz="4" w:space="0" w:color="auto"/>
              <w:left w:val="single" w:sz="4" w:space="0" w:color="auto"/>
              <w:bottom w:val="single" w:sz="4" w:space="0" w:color="auto"/>
              <w:right w:val="single" w:sz="4" w:space="0" w:color="auto"/>
            </w:tcBorders>
          </w:tcPr>
          <w:p w14:paraId="280F89B2" w14:textId="77777777" w:rsidR="008C4479" w:rsidRPr="00EB000F" w:rsidRDefault="00DB3F49" w:rsidP="008C4479">
            <w:r>
              <w:t>Full Target Achieved</w:t>
            </w:r>
          </w:p>
        </w:tc>
        <w:tc>
          <w:tcPr>
            <w:tcW w:w="1984" w:type="dxa"/>
            <w:tcBorders>
              <w:top w:val="single" w:sz="4" w:space="0" w:color="auto"/>
              <w:left w:val="single" w:sz="4" w:space="0" w:color="auto"/>
              <w:bottom w:val="single" w:sz="4" w:space="0" w:color="auto"/>
            </w:tcBorders>
          </w:tcPr>
          <w:p w14:paraId="7722303A" w14:textId="77777777" w:rsidR="008C4479" w:rsidRPr="00622FF3" w:rsidRDefault="008C4479" w:rsidP="008C4479">
            <w:pPr>
              <w:pStyle w:val="NoSpacing"/>
            </w:pPr>
          </w:p>
        </w:tc>
      </w:tr>
      <w:tr w:rsidR="008C4479" w:rsidRPr="00B64A59" w14:paraId="43A31D5C"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0821C" w14:textId="77777777" w:rsidR="008C4479" w:rsidRDefault="008C4479" w:rsidP="008C4479">
            <w:pPr>
              <w:jc w:val="right"/>
              <w:rPr>
                <w:i/>
                <w:iCs/>
                <w:color w:val="000000"/>
              </w:rPr>
            </w:pPr>
            <w:r>
              <w:rPr>
                <w:i/>
                <w:iCs/>
                <w:color w:val="000000"/>
              </w:rPr>
              <w:t>Male</w:t>
            </w:r>
          </w:p>
        </w:tc>
        <w:tc>
          <w:tcPr>
            <w:tcW w:w="1543" w:type="dxa"/>
            <w:tcBorders>
              <w:top w:val="single" w:sz="4" w:space="0" w:color="auto"/>
              <w:left w:val="single" w:sz="4" w:space="0" w:color="auto"/>
              <w:bottom w:val="single" w:sz="4" w:space="0" w:color="auto"/>
              <w:right w:val="single" w:sz="4" w:space="0" w:color="auto"/>
            </w:tcBorders>
          </w:tcPr>
          <w:p w14:paraId="0BAC3322" w14:textId="77777777" w:rsidR="008C4479" w:rsidRDefault="00AE63F1" w:rsidP="008C4479">
            <w:pPr>
              <w:jc w:val="center"/>
            </w:pPr>
            <w:r>
              <w:t>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32535A" w14:textId="77777777" w:rsidR="008C4479" w:rsidRDefault="00AE63F1" w:rsidP="008C4479">
            <w:pPr>
              <w:jc w:val="center"/>
              <w:rPr>
                <w:color w:val="000000"/>
              </w:rPr>
            </w:pPr>
            <w:r>
              <w:rPr>
                <w:color w:val="000000"/>
              </w:rPr>
              <w:t>161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DB47FC8" w14:textId="77777777" w:rsidR="008C4479" w:rsidRDefault="008C4479" w:rsidP="008C4479"/>
        </w:tc>
        <w:tc>
          <w:tcPr>
            <w:tcW w:w="1276" w:type="dxa"/>
            <w:tcBorders>
              <w:top w:val="single" w:sz="4" w:space="0" w:color="auto"/>
              <w:left w:val="single" w:sz="4" w:space="0" w:color="auto"/>
              <w:bottom w:val="single" w:sz="4" w:space="0" w:color="auto"/>
              <w:right w:val="single" w:sz="4" w:space="0" w:color="auto"/>
            </w:tcBorders>
          </w:tcPr>
          <w:p w14:paraId="4096FE90" w14:textId="77777777" w:rsidR="008C4479" w:rsidRPr="00EB000F" w:rsidRDefault="008C4479" w:rsidP="008C4479"/>
        </w:tc>
        <w:tc>
          <w:tcPr>
            <w:tcW w:w="1984" w:type="dxa"/>
            <w:tcBorders>
              <w:top w:val="single" w:sz="4" w:space="0" w:color="auto"/>
              <w:left w:val="single" w:sz="4" w:space="0" w:color="auto"/>
              <w:bottom w:val="single" w:sz="4" w:space="0" w:color="auto"/>
            </w:tcBorders>
          </w:tcPr>
          <w:p w14:paraId="7BB0AB28" w14:textId="77777777" w:rsidR="008C4479" w:rsidRPr="00622FF3" w:rsidRDefault="008C4479" w:rsidP="008C4479">
            <w:pPr>
              <w:pStyle w:val="NoSpacing"/>
            </w:pPr>
          </w:p>
        </w:tc>
      </w:tr>
      <w:tr w:rsidR="008C4479" w:rsidRPr="00B64A59" w14:paraId="3559C186"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A27C3" w14:textId="77777777" w:rsidR="008C4479" w:rsidRDefault="008C4479" w:rsidP="008C4479">
            <w:pPr>
              <w:jc w:val="right"/>
              <w:rPr>
                <w:i/>
                <w:iCs/>
                <w:color w:val="000000"/>
              </w:rPr>
            </w:pPr>
            <w:r>
              <w:rPr>
                <w:i/>
                <w:iCs/>
                <w:color w:val="000000"/>
              </w:rPr>
              <w:t>Female</w:t>
            </w:r>
          </w:p>
        </w:tc>
        <w:tc>
          <w:tcPr>
            <w:tcW w:w="1543" w:type="dxa"/>
            <w:tcBorders>
              <w:top w:val="single" w:sz="4" w:space="0" w:color="auto"/>
              <w:left w:val="single" w:sz="4" w:space="0" w:color="auto"/>
              <w:bottom w:val="single" w:sz="4" w:space="0" w:color="auto"/>
              <w:right w:val="single" w:sz="4" w:space="0" w:color="auto"/>
            </w:tcBorders>
          </w:tcPr>
          <w:p w14:paraId="11C45FC6" w14:textId="77777777" w:rsidR="008C4479" w:rsidRDefault="00AE63F1" w:rsidP="008C4479">
            <w:pPr>
              <w:jc w:val="center"/>
            </w:pPr>
            <w:r>
              <w:t>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9AF30A" w14:textId="77777777" w:rsidR="008C4479" w:rsidRDefault="00AE63F1" w:rsidP="008C4479">
            <w:pPr>
              <w:jc w:val="center"/>
              <w:rPr>
                <w:color w:val="000000"/>
              </w:rPr>
            </w:pPr>
            <w:r>
              <w:rPr>
                <w:color w:val="000000"/>
              </w:rPr>
              <w:t>339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46AA4BF" w14:textId="77777777" w:rsidR="008C4479" w:rsidRDefault="008C4479" w:rsidP="008C4479"/>
        </w:tc>
        <w:tc>
          <w:tcPr>
            <w:tcW w:w="1276" w:type="dxa"/>
            <w:tcBorders>
              <w:top w:val="single" w:sz="4" w:space="0" w:color="auto"/>
              <w:left w:val="single" w:sz="4" w:space="0" w:color="auto"/>
              <w:bottom w:val="single" w:sz="4" w:space="0" w:color="auto"/>
              <w:right w:val="single" w:sz="4" w:space="0" w:color="auto"/>
            </w:tcBorders>
          </w:tcPr>
          <w:p w14:paraId="5A3EEC42" w14:textId="77777777" w:rsidR="008C4479" w:rsidRPr="00EB000F" w:rsidRDefault="008C4479" w:rsidP="008C4479"/>
        </w:tc>
        <w:tc>
          <w:tcPr>
            <w:tcW w:w="1984" w:type="dxa"/>
            <w:tcBorders>
              <w:top w:val="single" w:sz="4" w:space="0" w:color="auto"/>
              <w:left w:val="single" w:sz="4" w:space="0" w:color="auto"/>
              <w:bottom w:val="single" w:sz="4" w:space="0" w:color="auto"/>
            </w:tcBorders>
          </w:tcPr>
          <w:p w14:paraId="3AFA74A5" w14:textId="77777777" w:rsidR="008C4479" w:rsidRPr="00622FF3" w:rsidRDefault="008C4479" w:rsidP="008C4479">
            <w:pPr>
              <w:pStyle w:val="NoSpacing"/>
            </w:pPr>
          </w:p>
        </w:tc>
      </w:tr>
      <w:tr w:rsidR="008C4479" w:rsidRPr="00B64A59" w14:paraId="68D7D31C" w14:textId="77777777" w:rsidTr="00023229">
        <w:trPr>
          <w:trHeight w:val="189"/>
        </w:trPr>
        <w:tc>
          <w:tcPr>
            <w:tcW w:w="228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F61F484" w14:textId="77777777" w:rsidR="008C4479" w:rsidRDefault="008C4479" w:rsidP="008C4479">
            <w:pPr>
              <w:rPr>
                <w:i/>
                <w:iCs/>
                <w:color w:val="000000"/>
              </w:rPr>
            </w:pPr>
            <w:r>
              <w:rPr>
                <w:i/>
                <w:iCs/>
                <w:color w:val="000000"/>
              </w:rPr>
              <w:t>Total No. of Regular Staff</w:t>
            </w:r>
          </w:p>
        </w:tc>
        <w:tc>
          <w:tcPr>
            <w:tcW w:w="1543" w:type="dxa"/>
            <w:tcBorders>
              <w:top w:val="single" w:sz="4" w:space="0" w:color="auto"/>
              <w:left w:val="single" w:sz="4" w:space="0" w:color="auto"/>
              <w:bottom w:val="single" w:sz="4" w:space="0" w:color="auto"/>
              <w:right w:val="single" w:sz="4" w:space="0" w:color="auto"/>
            </w:tcBorders>
          </w:tcPr>
          <w:p w14:paraId="7BEE46B0" w14:textId="77777777" w:rsidR="008C4479" w:rsidRDefault="00AC16EA" w:rsidP="008C4479">
            <w:pPr>
              <w:jc w:val="center"/>
            </w:pPr>
            <w:r>
              <w:t>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1ACCDD" w14:textId="77777777" w:rsidR="008C4479" w:rsidRDefault="00AC16EA" w:rsidP="008C4479">
            <w:pPr>
              <w:jc w:val="center"/>
              <w:rPr>
                <w:color w:val="000000"/>
              </w:rPr>
            </w:pPr>
            <w:r>
              <w:rPr>
                <w:color w:val="000000"/>
              </w:rPr>
              <w:t>98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2322F19" w14:textId="77777777" w:rsidR="008C4479" w:rsidRDefault="00DB3F49" w:rsidP="008C4479">
            <w:r>
              <w:t>0</w:t>
            </w:r>
          </w:p>
        </w:tc>
        <w:tc>
          <w:tcPr>
            <w:tcW w:w="1276" w:type="dxa"/>
            <w:tcBorders>
              <w:top w:val="single" w:sz="4" w:space="0" w:color="auto"/>
              <w:left w:val="single" w:sz="4" w:space="0" w:color="auto"/>
              <w:bottom w:val="single" w:sz="4" w:space="0" w:color="auto"/>
              <w:right w:val="single" w:sz="4" w:space="0" w:color="auto"/>
            </w:tcBorders>
          </w:tcPr>
          <w:p w14:paraId="1A45B2D1" w14:textId="77777777" w:rsidR="008C4479" w:rsidRPr="00EB000F" w:rsidRDefault="00DB3F49" w:rsidP="008C4479">
            <w:r>
              <w:t>Full Target Achieved</w:t>
            </w:r>
          </w:p>
        </w:tc>
        <w:tc>
          <w:tcPr>
            <w:tcW w:w="1984" w:type="dxa"/>
            <w:tcBorders>
              <w:top w:val="single" w:sz="4" w:space="0" w:color="auto"/>
              <w:left w:val="single" w:sz="4" w:space="0" w:color="auto"/>
              <w:bottom w:val="single" w:sz="4" w:space="0" w:color="auto"/>
            </w:tcBorders>
          </w:tcPr>
          <w:p w14:paraId="7EE9C281" w14:textId="77777777" w:rsidR="008C4479" w:rsidRPr="00622FF3" w:rsidRDefault="008C4479" w:rsidP="008C4479">
            <w:pPr>
              <w:pStyle w:val="NoSpacing"/>
            </w:pPr>
          </w:p>
        </w:tc>
      </w:tr>
      <w:tr w:rsidR="008C4479" w:rsidRPr="00B64A59" w14:paraId="1E7082AD" w14:textId="77777777" w:rsidTr="00023229">
        <w:trPr>
          <w:trHeight w:val="189"/>
        </w:trPr>
        <w:tc>
          <w:tcPr>
            <w:tcW w:w="228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ACAC9F1" w14:textId="77777777" w:rsidR="008C4479" w:rsidRDefault="008C4479" w:rsidP="008C4479">
            <w:pPr>
              <w:rPr>
                <w:color w:val="000000"/>
              </w:rPr>
            </w:pPr>
            <w:r>
              <w:rPr>
                <w:color w:val="000000"/>
              </w:rPr>
              <w:t>7.4. Number of personnel infected with COVID 19 regardless of work arrangement and employment status Department-wide</w:t>
            </w:r>
          </w:p>
        </w:tc>
        <w:tc>
          <w:tcPr>
            <w:tcW w:w="1543" w:type="dxa"/>
            <w:tcBorders>
              <w:top w:val="single" w:sz="4" w:space="0" w:color="auto"/>
              <w:left w:val="single" w:sz="4" w:space="0" w:color="auto"/>
              <w:bottom w:val="single" w:sz="4" w:space="0" w:color="auto"/>
              <w:right w:val="single" w:sz="4" w:space="0" w:color="auto"/>
            </w:tcBorders>
          </w:tcPr>
          <w:p w14:paraId="10B1E431" w14:textId="77777777" w:rsidR="008C4479" w:rsidRDefault="00AC16EA" w:rsidP="008C4479">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8BE3C6" w14:textId="77777777" w:rsidR="008C4479" w:rsidRDefault="00AC16EA" w:rsidP="008C4479">
            <w:pPr>
              <w:jc w:val="center"/>
              <w:rPr>
                <w:color w:val="000000"/>
              </w:rPr>
            </w:pPr>
            <w:r>
              <w:rPr>
                <w:color w:val="000000"/>
              </w:rPr>
              <w:t>120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8ADF0B4" w14:textId="77777777" w:rsidR="008C4479" w:rsidRDefault="00DB3F49" w:rsidP="008C4479">
            <w:r>
              <w:t>0</w:t>
            </w:r>
          </w:p>
        </w:tc>
        <w:tc>
          <w:tcPr>
            <w:tcW w:w="1276" w:type="dxa"/>
            <w:tcBorders>
              <w:top w:val="single" w:sz="4" w:space="0" w:color="auto"/>
              <w:left w:val="single" w:sz="4" w:space="0" w:color="auto"/>
              <w:bottom w:val="single" w:sz="4" w:space="0" w:color="auto"/>
              <w:right w:val="single" w:sz="4" w:space="0" w:color="auto"/>
            </w:tcBorders>
          </w:tcPr>
          <w:p w14:paraId="43F8180F" w14:textId="77777777" w:rsidR="008C4479" w:rsidRPr="00EB000F" w:rsidRDefault="00DB3F49" w:rsidP="008C4479">
            <w:r>
              <w:t>Full Target Achieved</w:t>
            </w:r>
          </w:p>
        </w:tc>
        <w:tc>
          <w:tcPr>
            <w:tcW w:w="1984" w:type="dxa"/>
            <w:tcBorders>
              <w:top w:val="single" w:sz="4" w:space="0" w:color="auto"/>
              <w:left w:val="single" w:sz="4" w:space="0" w:color="auto"/>
              <w:bottom w:val="single" w:sz="4" w:space="0" w:color="auto"/>
            </w:tcBorders>
          </w:tcPr>
          <w:p w14:paraId="1FBFDC3B" w14:textId="77777777" w:rsidR="008C4479" w:rsidRPr="00622FF3" w:rsidRDefault="008C4479" w:rsidP="008C4479">
            <w:pPr>
              <w:pStyle w:val="NoSpacing"/>
            </w:pPr>
          </w:p>
        </w:tc>
      </w:tr>
      <w:tr w:rsidR="008C4479" w:rsidRPr="00B64A59" w14:paraId="5BFBC251"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5D51E603" w14:textId="77777777" w:rsidR="008C4479" w:rsidRDefault="008C4479" w:rsidP="008C4479">
            <w:pPr>
              <w:jc w:val="right"/>
              <w:rPr>
                <w:i/>
                <w:iCs/>
                <w:color w:val="000000"/>
              </w:rPr>
            </w:pPr>
            <w:r>
              <w:rPr>
                <w:i/>
                <w:iCs/>
                <w:color w:val="000000"/>
              </w:rPr>
              <w:t>Male</w:t>
            </w:r>
          </w:p>
        </w:tc>
        <w:tc>
          <w:tcPr>
            <w:tcW w:w="1543" w:type="dxa"/>
            <w:tcBorders>
              <w:top w:val="single" w:sz="4" w:space="0" w:color="auto"/>
              <w:left w:val="single" w:sz="4" w:space="0" w:color="auto"/>
              <w:bottom w:val="single" w:sz="4" w:space="0" w:color="auto"/>
              <w:right w:val="single" w:sz="4" w:space="0" w:color="auto"/>
            </w:tcBorders>
          </w:tcPr>
          <w:p w14:paraId="29F1DFA7" w14:textId="77777777" w:rsidR="008C4479" w:rsidRDefault="00AC16EA" w:rsidP="008C4479">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1DC5FC" w14:textId="77777777" w:rsidR="008C4479" w:rsidRDefault="00AC16EA" w:rsidP="008C4479">
            <w:pPr>
              <w:jc w:val="center"/>
              <w:rPr>
                <w:color w:val="000000"/>
              </w:rPr>
            </w:pPr>
            <w:r>
              <w:rPr>
                <w:color w:val="000000"/>
              </w:rPr>
              <w:t>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44136DA" w14:textId="77777777" w:rsidR="008C4479" w:rsidRDefault="008C4479" w:rsidP="008C4479"/>
        </w:tc>
        <w:tc>
          <w:tcPr>
            <w:tcW w:w="1276" w:type="dxa"/>
            <w:tcBorders>
              <w:top w:val="single" w:sz="4" w:space="0" w:color="auto"/>
              <w:left w:val="single" w:sz="4" w:space="0" w:color="auto"/>
              <w:bottom w:val="single" w:sz="4" w:space="0" w:color="auto"/>
              <w:right w:val="single" w:sz="4" w:space="0" w:color="auto"/>
            </w:tcBorders>
          </w:tcPr>
          <w:p w14:paraId="04E22F07" w14:textId="77777777" w:rsidR="008C4479" w:rsidRPr="00EB000F" w:rsidRDefault="008C4479" w:rsidP="008C4479"/>
        </w:tc>
        <w:tc>
          <w:tcPr>
            <w:tcW w:w="1984" w:type="dxa"/>
            <w:tcBorders>
              <w:top w:val="single" w:sz="4" w:space="0" w:color="auto"/>
              <w:left w:val="single" w:sz="4" w:space="0" w:color="auto"/>
              <w:bottom w:val="single" w:sz="4" w:space="0" w:color="auto"/>
            </w:tcBorders>
          </w:tcPr>
          <w:p w14:paraId="7432CD52" w14:textId="77777777" w:rsidR="008C4479" w:rsidRPr="00622FF3" w:rsidRDefault="008C4479" w:rsidP="008C4479">
            <w:pPr>
              <w:pStyle w:val="NoSpacing"/>
            </w:pPr>
          </w:p>
        </w:tc>
      </w:tr>
      <w:tr w:rsidR="008C4479" w:rsidRPr="00B64A59" w14:paraId="19AC4A86"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645A7D42" w14:textId="77777777" w:rsidR="008C4479" w:rsidRDefault="008C4479" w:rsidP="008C4479">
            <w:pPr>
              <w:jc w:val="right"/>
              <w:rPr>
                <w:i/>
                <w:iCs/>
                <w:color w:val="000000"/>
              </w:rPr>
            </w:pPr>
            <w:r>
              <w:rPr>
                <w:i/>
                <w:iCs/>
                <w:color w:val="000000"/>
              </w:rPr>
              <w:t>Female</w:t>
            </w:r>
          </w:p>
        </w:tc>
        <w:tc>
          <w:tcPr>
            <w:tcW w:w="1543" w:type="dxa"/>
            <w:tcBorders>
              <w:top w:val="single" w:sz="4" w:space="0" w:color="auto"/>
              <w:left w:val="single" w:sz="4" w:space="0" w:color="auto"/>
              <w:bottom w:val="single" w:sz="4" w:space="0" w:color="auto"/>
              <w:right w:val="single" w:sz="4" w:space="0" w:color="auto"/>
            </w:tcBorders>
          </w:tcPr>
          <w:p w14:paraId="7E843307" w14:textId="77777777" w:rsidR="008C4479" w:rsidRDefault="00AC16EA" w:rsidP="008C4479">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A67C85" w14:textId="77777777" w:rsidR="008C4479" w:rsidRDefault="00AC16EA" w:rsidP="008C4479">
            <w:pPr>
              <w:jc w:val="center"/>
              <w:rPr>
                <w:color w:val="000000"/>
              </w:rPr>
            </w:pPr>
            <w:r>
              <w:rPr>
                <w:color w:val="000000"/>
              </w:rPr>
              <w:t>70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E03C039" w14:textId="77777777" w:rsidR="008C4479" w:rsidRDefault="008C4479" w:rsidP="008C4479"/>
        </w:tc>
        <w:tc>
          <w:tcPr>
            <w:tcW w:w="1276" w:type="dxa"/>
            <w:tcBorders>
              <w:top w:val="single" w:sz="4" w:space="0" w:color="auto"/>
              <w:left w:val="single" w:sz="4" w:space="0" w:color="auto"/>
              <w:bottom w:val="single" w:sz="4" w:space="0" w:color="auto"/>
              <w:right w:val="single" w:sz="4" w:space="0" w:color="auto"/>
            </w:tcBorders>
          </w:tcPr>
          <w:p w14:paraId="70F2369A" w14:textId="77777777" w:rsidR="008C4479" w:rsidRPr="00EB000F" w:rsidRDefault="008C4479" w:rsidP="008C4479"/>
        </w:tc>
        <w:tc>
          <w:tcPr>
            <w:tcW w:w="1984" w:type="dxa"/>
            <w:tcBorders>
              <w:top w:val="single" w:sz="4" w:space="0" w:color="auto"/>
              <w:left w:val="single" w:sz="4" w:space="0" w:color="auto"/>
              <w:bottom w:val="single" w:sz="4" w:space="0" w:color="auto"/>
            </w:tcBorders>
          </w:tcPr>
          <w:p w14:paraId="1725A15E" w14:textId="77777777" w:rsidR="008C4479" w:rsidRPr="00622FF3" w:rsidRDefault="008C4479" w:rsidP="008C4479">
            <w:pPr>
              <w:pStyle w:val="NoSpacing"/>
            </w:pPr>
          </w:p>
        </w:tc>
      </w:tr>
      <w:tr w:rsidR="008C4479" w:rsidRPr="00B64A59" w14:paraId="4290A6C8"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B3B313" w14:textId="77777777" w:rsidR="008C4479" w:rsidRDefault="008C4479" w:rsidP="008C4479">
            <w:pPr>
              <w:rPr>
                <w:color w:val="000000"/>
              </w:rPr>
            </w:pPr>
            <w:r>
              <w:rPr>
                <w:color w:val="000000"/>
              </w:rPr>
              <w:t>7.5. Number of personnel regardless of status provided with support and assistance</w:t>
            </w:r>
          </w:p>
        </w:tc>
        <w:tc>
          <w:tcPr>
            <w:tcW w:w="1543" w:type="dxa"/>
            <w:tcBorders>
              <w:top w:val="single" w:sz="4" w:space="0" w:color="auto"/>
              <w:left w:val="single" w:sz="4" w:space="0" w:color="auto"/>
              <w:bottom w:val="single" w:sz="4" w:space="0" w:color="auto"/>
              <w:right w:val="single" w:sz="4" w:space="0" w:color="auto"/>
            </w:tcBorders>
          </w:tcPr>
          <w:p w14:paraId="65E9A2D0" w14:textId="77777777" w:rsidR="008C4479" w:rsidRDefault="008C4479" w:rsidP="008C4479">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7E745" w14:textId="77777777" w:rsidR="008C4479" w:rsidRDefault="008C4479" w:rsidP="008C4479">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3102D83" w14:textId="77777777" w:rsidR="008C4479" w:rsidRDefault="008C4479" w:rsidP="008C4479"/>
        </w:tc>
        <w:tc>
          <w:tcPr>
            <w:tcW w:w="1276" w:type="dxa"/>
            <w:tcBorders>
              <w:top w:val="single" w:sz="4" w:space="0" w:color="auto"/>
              <w:left w:val="single" w:sz="4" w:space="0" w:color="auto"/>
              <w:bottom w:val="single" w:sz="4" w:space="0" w:color="auto"/>
              <w:right w:val="single" w:sz="4" w:space="0" w:color="auto"/>
            </w:tcBorders>
          </w:tcPr>
          <w:p w14:paraId="7EAEE68F" w14:textId="77777777" w:rsidR="008C4479" w:rsidRPr="00EB000F" w:rsidRDefault="008C4479" w:rsidP="008C4479"/>
        </w:tc>
        <w:tc>
          <w:tcPr>
            <w:tcW w:w="1984" w:type="dxa"/>
            <w:tcBorders>
              <w:top w:val="single" w:sz="4" w:space="0" w:color="auto"/>
              <w:left w:val="single" w:sz="4" w:space="0" w:color="auto"/>
              <w:bottom w:val="single" w:sz="4" w:space="0" w:color="auto"/>
            </w:tcBorders>
          </w:tcPr>
          <w:p w14:paraId="16CFF257" w14:textId="77777777" w:rsidR="008C4479" w:rsidRPr="00622FF3" w:rsidRDefault="008C4479" w:rsidP="008C4479">
            <w:pPr>
              <w:pStyle w:val="NoSpacing"/>
            </w:pPr>
          </w:p>
        </w:tc>
      </w:tr>
      <w:tr w:rsidR="00AC16EA" w:rsidRPr="00B64A59" w14:paraId="2EA46941"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425B22D1" w14:textId="77777777" w:rsidR="00AC16EA" w:rsidRDefault="00AC16EA" w:rsidP="00AC16EA">
            <w:pPr>
              <w:rPr>
                <w:color w:val="000000"/>
              </w:rPr>
            </w:pPr>
            <w:r>
              <w:rPr>
                <w:color w:val="000000"/>
              </w:rPr>
              <w:lastRenderedPageBreak/>
              <w:t>Infected Personnel</w:t>
            </w:r>
          </w:p>
        </w:tc>
        <w:tc>
          <w:tcPr>
            <w:tcW w:w="1543" w:type="dxa"/>
            <w:tcBorders>
              <w:top w:val="single" w:sz="4" w:space="0" w:color="auto"/>
              <w:left w:val="single" w:sz="4" w:space="0" w:color="auto"/>
              <w:bottom w:val="single" w:sz="4" w:space="0" w:color="auto"/>
              <w:right w:val="single" w:sz="4" w:space="0" w:color="auto"/>
            </w:tcBorders>
          </w:tcPr>
          <w:p w14:paraId="3D5395CD" w14:textId="77777777" w:rsidR="00AC16EA" w:rsidRDefault="00AC16EA" w:rsidP="00AC16EA">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A6A633" w14:textId="77777777" w:rsidR="00AC16EA" w:rsidRDefault="00AC16EA" w:rsidP="00AC16EA">
            <w:pPr>
              <w:jc w:val="center"/>
            </w:pPr>
            <w:r>
              <w:t>130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642CC5D" w14:textId="77777777" w:rsidR="00AC16EA" w:rsidRDefault="00AC16EA" w:rsidP="00AC16EA"/>
        </w:tc>
        <w:tc>
          <w:tcPr>
            <w:tcW w:w="1276" w:type="dxa"/>
            <w:tcBorders>
              <w:top w:val="single" w:sz="4" w:space="0" w:color="auto"/>
              <w:left w:val="single" w:sz="4" w:space="0" w:color="auto"/>
              <w:bottom w:val="single" w:sz="4" w:space="0" w:color="auto"/>
              <w:right w:val="single" w:sz="4" w:space="0" w:color="auto"/>
            </w:tcBorders>
          </w:tcPr>
          <w:p w14:paraId="7BA703D1" w14:textId="77777777" w:rsidR="00AC16EA" w:rsidRPr="00EB000F" w:rsidRDefault="00DB3F49" w:rsidP="00AC16EA">
            <w:r>
              <w:t>Full Target Achieved</w:t>
            </w:r>
          </w:p>
        </w:tc>
        <w:tc>
          <w:tcPr>
            <w:tcW w:w="1984" w:type="dxa"/>
            <w:tcBorders>
              <w:top w:val="single" w:sz="4" w:space="0" w:color="auto"/>
              <w:left w:val="single" w:sz="4" w:space="0" w:color="auto"/>
              <w:bottom w:val="single" w:sz="4" w:space="0" w:color="auto"/>
            </w:tcBorders>
          </w:tcPr>
          <w:p w14:paraId="514A68D4" w14:textId="77777777" w:rsidR="00AC16EA" w:rsidRPr="00622FF3" w:rsidRDefault="00AC16EA" w:rsidP="00AC16EA">
            <w:pPr>
              <w:pStyle w:val="NoSpacing"/>
            </w:pPr>
          </w:p>
        </w:tc>
      </w:tr>
      <w:tr w:rsidR="00AC16EA" w:rsidRPr="00B64A59" w14:paraId="52438726"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7466AD17" w14:textId="77777777" w:rsidR="00AC16EA" w:rsidRDefault="00AC16EA" w:rsidP="00AC16EA">
            <w:pPr>
              <w:jc w:val="right"/>
              <w:rPr>
                <w:i/>
                <w:iCs/>
                <w:color w:val="000000"/>
              </w:rPr>
            </w:pPr>
            <w:r>
              <w:rPr>
                <w:i/>
                <w:iCs/>
                <w:color w:val="000000"/>
              </w:rPr>
              <w:t>Male</w:t>
            </w:r>
          </w:p>
        </w:tc>
        <w:tc>
          <w:tcPr>
            <w:tcW w:w="1543" w:type="dxa"/>
            <w:tcBorders>
              <w:top w:val="single" w:sz="4" w:space="0" w:color="auto"/>
              <w:left w:val="single" w:sz="4" w:space="0" w:color="auto"/>
              <w:bottom w:val="single" w:sz="4" w:space="0" w:color="auto"/>
              <w:right w:val="single" w:sz="4" w:space="0" w:color="auto"/>
            </w:tcBorders>
          </w:tcPr>
          <w:p w14:paraId="220B3A54" w14:textId="77777777" w:rsidR="00AC16EA" w:rsidRDefault="00AC16EA" w:rsidP="00AC16EA">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C95C71" w14:textId="77777777" w:rsidR="00AC16EA" w:rsidRDefault="00AC16EA" w:rsidP="00AC16EA">
            <w:pPr>
              <w:jc w:val="center"/>
            </w:pPr>
            <w:r>
              <w:t>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EEC302A" w14:textId="77777777" w:rsidR="00AC16EA" w:rsidRDefault="00AC16EA" w:rsidP="00AC16EA"/>
        </w:tc>
        <w:tc>
          <w:tcPr>
            <w:tcW w:w="1276" w:type="dxa"/>
            <w:tcBorders>
              <w:top w:val="single" w:sz="4" w:space="0" w:color="auto"/>
              <w:left w:val="single" w:sz="4" w:space="0" w:color="auto"/>
              <w:bottom w:val="single" w:sz="4" w:space="0" w:color="auto"/>
              <w:right w:val="single" w:sz="4" w:space="0" w:color="auto"/>
            </w:tcBorders>
          </w:tcPr>
          <w:p w14:paraId="4600C8A6" w14:textId="77777777" w:rsidR="00AC16EA" w:rsidRPr="00EB000F" w:rsidRDefault="00AC16EA" w:rsidP="00AC16EA"/>
        </w:tc>
        <w:tc>
          <w:tcPr>
            <w:tcW w:w="1984" w:type="dxa"/>
            <w:tcBorders>
              <w:top w:val="single" w:sz="4" w:space="0" w:color="auto"/>
              <w:left w:val="single" w:sz="4" w:space="0" w:color="auto"/>
              <w:bottom w:val="single" w:sz="4" w:space="0" w:color="auto"/>
            </w:tcBorders>
          </w:tcPr>
          <w:p w14:paraId="271E58DB" w14:textId="77777777" w:rsidR="00AC16EA" w:rsidRPr="00622FF3" w:rsidRDefault="00AC16EA" w:rsidP="00AC16EA">
            <w:pPr>
              <w:pStyle w:val="NoSpacing"/>
            </w:pPr>
          </w:p>
        </w:tc>
      </w:tr>
      <w:tr w:rsidR="00AC16EA" w:rsidRPr="00B64A59" w14:paraId="77D646A1"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03A4A27D" w14:textId="77777777" w:rsidR="00AC16EA" w:rsidRDefault="00AC16EA" w:rsidP="00AC16EA">
            <w:pPr>
              <w:jc w:val="right"/>
              <w:rPr>
                <w:i/>
                <w:iCs/>
                <w:color w:val="000000"/>
              </w:rPr>
            </w:pPr>
            <w:r>
              <w:rPr>
                <w:i/>
                <w:iCs/>
                <w:color w:val="000000"/>
              </w:rPr>
              <w:t>Female</w:t>
            </w:r>
          </w:p>
        </w:tc>
        <w:tc>
          <w:tcPr>
            <w:tcW w:w="1543" w:type="dxa"/>
            <w:tcBorders>
              <w:top w:val="single" w:sz="4" w:space="0" w:color="auto"/>
              <w:left w:val="single" w:sz="4" w:space="0" w:color="auto"/>
              <w:bottom w:val="single" w:sz="4" w:space="0" w:color="auto"/>
              <w:right w:val="single" w:sz="4" w:space="0" w:color="auto"/>
            </w:tcBorders>
          </w:tcPr>
          <w:p w14:paraId="5DFA352E" w14:textId="77777777" w:rsidR="00AC16EA" w:rsidRDefault="00AC16EA" w:rsidP="00AC16EA">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D70026" w14:textId="77777777" w:rsidR="00AC16EA" w:rsidRDefault="00AC16EA" w:rsidP="00AC16EA">
            <w:pPr>
              <w:jc w:val="center"/>
            </w:pPr>
            <w:r>
              <w:t>70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D2D94DC" w14:textId="77777777" w:rsidR="00AC16EA" w:rsidRDefault="00AC16EA" w:rsidP="00AC16EA"/>
        </w:tc>
        <w:tc>
          <w:tcPr>
            <w:tcW w:w="1276" w:type="dxa"/>
            <w:tcBorders>
              <w:top w:val="single" w:sz="4" w:space="0" w:color="auto"/>
              <w:left w:val="single" w:sz="4" w:space="0" w:color="auto"/>
              <w:bottom w:val="single" w:sz="4" w:space="0" w:color="auto"/>
              <w:right w:val="single" w:sz="4" w:space="0" w:color="auto"/>
            </w:tcBorders>
          </w:tcPr>
          <w:p w14:paraId="08B49AB6" w14:textId="77777777" w:rsidR="00AC16EA" w:rsidRPr="00EB000F" w:rsidRDefault="00AC16EA" w:rsidP="00AC16EA"/>
        </w:tc>
        <w:tc>
          <w:tcPr>
            <w:tcW w:w="1984" w:type="dxa"/>
            <w:tcBorders>
              <w:top w:val="single" w:sz="4" w:space="0" w:color="auto"/>
              <w:left w:val="single" w:sz="4" w:space="0" w:color="auto"/>
              <w:bottom w:val="single" w:sz="4" w:space="0" w:color="auto"/>
            </w:tcBorders>
          </w:tcPr>
          <w:p w14:paraId="139FE30E" w14:textId="77777777" w:rsidR="00AC16EA" w:rsidRPr="00622FF3" w:rsidRDefault="00AC16EA" w:rsidP="00AC16EA">
            <w:pPr>
              <w:pStyle w:val="NoSpacing"/>
            </w:pPr>
          </w:p>
        </w:tc>
      </w:tr>
      <w:tr w:rsidR="008C4479" w:rsidRPr="00B64A59" w14:paraId="7D33448A" w14:textId="77777777" w:rsidTr="00023229">
        <w:trPr>
          <w:trHeight w:val="189"/>
        </w:trPr>
        <w:tc>
          <w:tcPr>
            <w:tcW w:w="228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26097AE" w14:textId="77777777" w:rsidR="008C4479" w:rsidRDefault="008C4479" w:rsidP="008C4479">
            <w:pPr>
              <w:rPr>
                <w:color w:val="000000"/>
              </w:rPr>
            </w:pPr>
            <w:r>
              <w:rPr>
                <w:color w:val="000000"/>
              </w:rPr>
              <w:t>Bereaved Personnel</w:t>
            </w:r>
          </w:p>
        </w:tc>
        <w:tc>
          <w:tcPr>
            <w:tcW w:w="1543" w:type="dxa"/>
            <w:tcBorders>
              <w:top w:val="single" w:sz="4" w:space="0" w:color="auto"/>
              <w:left w:val="single" w:sz="4" w:space="0" w:color="auto"/>
              <w:bottom w:val="single" w:sz="4" w:space="0" w:color="auto"/>
              <w:right w:val="single" w:sz="4" w:space="0" w:color="auto"/>
            </w:tcBorders>
          </w:tcPr>
          <w:p w14:paraId="7EA7DE86" w14:textId="77777777" w:rsidR="008C4479" w:rsidRDefault="00AC16EA" w:rsidP="008C4479">
            <w:pPr>
              <w:jc w:val="center"/>
            </w:pPr>
            <w: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10C5AD" w14:textId="77777777" w:rsidR="008C4479" w:rsidRDefault="00AC16EA" w:rsidP="008C4479">
            <w:pPr>
              <w:jc w:val="center"/>
              <w:rPr>
                <w:color w:val="000000"/>
              </w:rPr>
            </w:pPr>
            <w:r>
              <w:rPr>
                <w:color w:val="000000"/>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37C2F39" w14:textId="77777777" w:rsidR="008C4479" w:rsidRDefault="008C4479" w:rsidP="008C4479"/>
        </w:tc>
        <w:tc>
          <w:tcPr>
            <w:tcW w:w="1276" w:type="dxa"/>
            <w:tcBorders>
              <w:top w:val="single" w:sz="4" w:space="0" w:color="auto"/>
              <w:left w:val="single" w:sz="4" w:space="0" w:color="auto"/>
              <w:bottom w:val="single" w:sz="4" w:space="0" w:color="auto"/>
              <w:right w:val="single" w:sz="4" w:space="0" w:color="auto"/>
            </w:tcBorders>
          </w:tcPr>
          <w:p w14:paraId="2E2C9272" w14:textId="77777777" w:rsidR="008C4479" w:rsidRPr="00EB000F" w:rsidRDefault="008C4479" w:rsidP="008C4479"/>
        </w:tc>
        <w:tc>
          <w:tcPr>
            <w:tcW w:w="1984" w:type="dxa"/>
            <w:tcBorders>
              <w:top w:val="single" w:sz="4" w:space="0" w:color="auto"/>
              <w:left w:val="single" w:sz="4" w:space="0" w:color="auto"/>
              <w:bottom w:val="single" w:sz="4" w:space="0" w:color="auto"/>
            </w:tcBorders>
          </w:tcPr>
          <w:p w14:paraId="7EFAF91A" w14:textId="77777777" w:rsidR="008C4479" w:rsidRPr="00622FF3" w:rsidRDefault="008C4479" w:rsidP="008C4479">
            <w:pPr>
              <w:pStyle w:val="NoSpacing"/>
            </w:pPr>
          </w:p>
        </w:tc>
      </w:tr>
      <w:tr w:rsidR="008C4479" w:rsidRPr="00B64A59" w14:paraId="2A75D59E"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32D96A21" w14:textId="77777777" w:rsidR="008C4479" w:rsidRDefault="008C4479" w:rsidP="008C4479">
            <w:pPr>
              <w:jc w:val="right"/>
              <w:rPr>
                <w:i/>
                <w:iCs/>
                <w:color w:val="000000"/>
              </w:rPr>
            </w:pPr>
            <w:r>
              <w:rPr>
                <w:i/>
                <w:iCs/>
                <w:color w:val="000000"/>
              </w:rPr>
              <w:t>Male</w:t>
            </w:r>
          </w:p>
        </w:tc>
        <w:tc>
          <w:tcPr>
            <w:tcW w:w="1543" w:type="dxa"/>
            <w:tcBorders>
              <w:top w:val="single" w:sz="4" w:space="0" w:color="auto"/>
              <w:left w:val="single" w:sz="4" w:space="0" w:color="auto"/>
              <w:bottom w:val="single" w:sz="4" w:space="0" w:color="auto"/>
              <w:right w:val="single" w:sz="4" w:space="0" w:color="auto"/>
            </w:tcBorders>
          </w:tcPr>
          <w:p w14:paraId="59C9418A" w14:textId="77777777" w:rsidR="008C4479" w:rsidRDefault="00AC16EA" w:rsidP="008C4479">
            <w:pPr>
              <w:jc w:val="center"/>
            </w:pPr>
            <w: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E424E6" w14:textId="77777777" w:rsidR="008C4479" w:rsidRDefault="00AC16EA" w:rsidP="008C4479">
            <w:pPr>
              <w:jc w:val="center"/>
              <w:rPr>
                <w:color w:val="000000"/>
              </w:rPr>
            </w:pPr>
            <w:r>
              <w:rPr>
                <w:color w:val="000000"/>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3685643" w14:textId="77777777" w:rsidR="008C4479" w:rsidRDefault="008C4479" w:rsidP="008C4479"/>
        </w:tc>
        <w:tc>
          <w:tcPr>
            <w:tcW w:w="1276" w:type="dxa"/>
            <w:tcBorders>
              <w:top w:val="single" w:sz="4" w:space="0" w:color="auto"/>
              <w:left w:val="single" w:sz="4" w:space="0" w:color="auto"/>
              <w:bottom w:val="single" w:sz="4" w:space="0" w:color="auto"/>
              <w:right w:val="single" w:sz="4" w:space="0" w:color="auto"/>
            </w:tcBorders>
          </w:tcPr>
          <w:p w14:paraId="54C1FF7C" w14:textId="77777777" w:rsidR="008C4479" w:rsidRPr="00EB000F" w:rsidRDefault="008C4479" w:rsidP="008C4479"/>
        </w:tc>
        <w:tc>
          <w:tcPr>
            <w:tcW w:w="1984" w:type="dxa"/>
            <w:tcBorders>
              <w:top w:val="single" w:sz="4" w:space="0" w:color="auto"/>
              <w:left w:val="single" w:sz="4" w:space="0" w:color="auto"/>
              <w:bottom w:val="single" w:sz="4" w:space="0" w:color="auto"/>
            </w:tcBorders>
          </w:tcPr>
          <w:p w14:paraId="31732C43" w14:textId="77777777" w:rsidR="008C4479" w:rsidRPr="00622FF3" w:rsidRDefault="008C4479" w:rsidP="008C4479">
            <w:pPr>
              <w:pStyle w:val="NoSpacing"/>
            </w:pPr>
          </w:p>
        </w:tc>
      </w:tr>
      <w:tr w:rsidR="008C4479" w:rsidRPr="00B64A59" w14:paraId="532A64E4"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0590C89F" w14:textId="77777777" w:rsidR="008C4479" w:rsidRDefault="008C4479" w:rsidP="008C4479">
            <w:pPr>
              <w:jc w:val="right"/>
              <w:rPr>
                <w:i/>
                <w:iCs/>
                <w:color w:val="000000"/>
              </w:rPr>
            </w:pPr>
            <w:r>
              <w:rPr>
                <w:i/>
                <w:iCs/>
                <w:color w:val="000000"/>
              </w:rPr>
              <w:t>Female</w:t>
            </w:r>
          </w:p>
        </w:tc>
        <w:tc>
          <w:tcPr>
            <w:tcW w:w="1543" w:type="dxa"/>
            <w:tcBorders>
              <w:top w:val="single" w:sz="4" w:space="0" w:color="auto"/>
              <w:left w:val="single" w:sz="4" w:space="0" w:color="auto"/>
              <w:bottom w:val="single" w:sz="4" w:space="0" w:color="auto"/>
              <w:right w:val="single" w:sz="4" w:space="0" w:color="auto"/>
            </w:tcBorders>
          </w:tcPr>
          <w:p w14:paraId="1E6D3469" w14:textId="77777777" w:rsidR="008C4479" w:rsidRDefault="00AC16EA" w:rsidP="008C4479">
            <w:pPr>
              <w:jc w:val="center"/>
            </w:pPr>
            <w: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805FE8" w14:textId="77777777" w:rsidR="008C4479" w:rsidRDefault="00AC16EA" w:rsidP="008C4479">
            <w:pPr>
              <w:jc w:val="center"/>
              <w:rPr>
                <w:color w:val="000000"/>
              </w:rPr>
            </w:pPr>
            <w:r>
              <w:rPr>
                <w:color w:val="000000"/>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DEC3738" w14:textId="77777777" w:rsidR="008C4479" w:rsidRDefault="008C4479" w:rsidP="008C4479"/>
        </w:tc>
        <w:tc>
          <w:tcPr>
            <w:tcW w:w="1276" w:type="dxa"/>
            <w:tcBorders>
              <w:top w:val="single" w:sz="4" w:space="0" w:color="auto"/>
              <w:left w:val="single" w:sz="4" w:space="0" w:color="auto"/>
              <w:bottom w:val="single" w:sz="4" w:space="0" w:color="auto"/>
              <w:right w:val="single" w:sz="4" w:space="0" w:color="auto"/>
            </w:tcBorders>
          </w:tcPr>
          <w:p w14:paraId="6A0F6DC8" w14:textId="77777777" w:rsidR="008C4479" w:rsidRPr="00EB000F" w:rsidRDefault="008C4479" w:rsidP="008C4479"/>
        </w:tc>
        <w:tc>
          <w:tcPr>
            <w:tcW w:w="1984" w:type="dxa"/>
            <w:tcBorders>
              <w:top w:val="single" w:sz="4" w:space="0" w:color="auto"/>
              <w:left w:val="single" w:sz="4" w:space="0" w:color="auto"/>
              <w:bottom w:val="single" w:sz="4" w:space="0" w:color="auto"/>
            </w:tcBorders>
          </w:tcPr>
          <w:p w14:paraId="6CF37708" w14:textId="77777777" w:rsidR="008C4479" w:rsidRPr="00622FF3" w:rsidRDefault="008C4479" w:rsidP="008C4479">
            <w:pPr>
              <w:pStyle w:val="NoSpacing"/>
            </w:pPr>
          </w:p>
        </w:tc>
      </w:tr>
      <w:tr w:rsidR="008C4479" w:rsidRPr="00B64A59" w14:paraId="7FBB3AE6"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6D69C1" w14:textId="77777777" w:rsidR="008C4479" w:rsidRDefault="008C4479" w:rsidP="008C4479">
            <w:pPr>
              <w:rPr>
                <w:color w:val="000000"/>
              </w:rPr>
            </w:pPr>
            <w:r>
              <w:rPr>
                <w:color w:val="000000"/>
              </w:rPr>
              <w:t>7.6. Percentage of staff provided with compensation/benefits within the timeline</w:t>
            </w:r>
          </w:p>
        </w:tc>
        <w:tc>
          <w:tcPr>
            <w:tcW w:w="1543" w:type="dxa"/>
            <w:tcBorders>
              <w:top w:val="single" w:sz="4" w:space="0" w:color="auto"/>
              <w:left w:val="single" w:sz="4" w:space="0" w:color="auto"/>
              <w:bottom w:val="single" w:sz="4" w:space="0" w:color="auto"/>
              <w:right w:val="single" w:sz="4" w:space="0" w:color="auto"/>
            </w:tcBorders>
          </w:tcPr>
          <w:p w14:paraId="2C7ECC4F" w14:textId="77777777" w:rsidR="008C4479" w:rsidRDefault="00AC16EA" w:rsidP="008C4479">
            <w:pPr>
              <w:jc w:val="center"/>
            </w:pPr>
            <w:r>
              <w:t>100% (1069)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0B936" w14:textId="77777777" w:rsidR="00AC16EA" w:rsidRDefault="00AC16EA" w:rsidP="008C4479">
            <w:pPr>
              <w:jc w:val="center"/>
              <w:rPr>
                <w:color w:val="000000"/>
              </w:rPr>
            </w:pPr>
            <w:r>
              <w:rPr>
                <w:color w:val="000000"/>
              </w:rPr>
              <w:t>109.5%</w:t>
            </w:r>
          </w:p>
          <w:p w14:paraId="5A7DFD2B" w14:textId="77777777" w:rsidR="008C4479" w:rsidRDefault="00AC16EA" w:rsidP="008C4479">
            <w:pPr>
              <w:jc w:val="center"/>
              <w:rPr>
                <w:color w:val="000000"/>
              </w:rPr>
            </w:pPr>
            <w:r>
              <w:rPr>
                <w:color w:val="000000"/>
              </w:rPr>
              <w:t>(1,095)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E664F70" w14:textId="77777777" w:rsidR="008C4479" w:rsidRDefault="00AC16EA" w:rsidP="008C4479">
            <w:r>
              <w:t>+9.5%</w:t>
            </w:r>
          </w:p>
        </w:tc>
        <w:tc>
          <w:tcPr>
            <w:tcW w:w="1276" w:type="dxa"/>
            <w:tcBorders>
              <w:top w:val="single" w:sz="4" w:space="0" w:color="auto"/>
              <w:left w:val="single" w:sz="4" w:space="0" w:color="auto"/>
              <w:bottom w:val="single" w:sz="4" w:space="0" w:color="auto"/>
              <w:right w:val="single" w:sz="4" w:space="0" w:color="auto"/>
            </w:tcBorders>
          </w:tcPr>
          <w:p w14:paraId="260235FC" w14:textId="77777777" w:rsidR="008C4479" w:rsidRPr="00EB000F" w:rsidRDefault="00DB3F49" w:rsidP="008C4479">
            <w:r>
              <w:t>Full Target Achieved</w:t>
            </w:r>
          </w:p>
        </w:tc>
        <w:tc>
          <w:tcPr>
            <w:tcW w:w="1984" w:type="dxa"/>
            <w:tcBorders>
              <w:top w:val="single" w:sz="4" w:space="0" w:color="auto"/>
              <w:left w:val="single" w:sz="4" w:space="0" w:color="auto"/>
              <w:bottom w:val="single" w:sz="4" w:space="0" w:color="auto"/>
            </w:tcBorders>
          </w:tcPr>
          <w:p w14:paraId="3DDDC429" w14:textId="77777777" w:rsidR="008C4479" w:rsidRPr="00622FF3" w:rsidRDefault="008C4479" w:rsidP="008C4479">
            <w:pPr>
              <w:pStyle w:val="NoSpacing"/>
            </w:pPr>
          </w:p>
        </w:tc>
      </w:tr>
      <w:tr w:rsidR="008C4479" w:rsidRPr="00B64A59" w14:paraId="51063E5A"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4CCF79DF" w14:textId="77777777" w:rsidR="008C4479" w:rsidRDefault="008C4479" w:rsidP="008C4479">
            <w:pPr>
              <w:rPr>
                <w:i/>
                <w:iCs/>
                <w:color w:val="000000"/>
              </w:rPr>
            </w:pPr>
            <w:r>
              <w:rPr>
                <w:i/>
                <w:iCs/>
                <w:color w:val="000000"/>
              </w:rPr>
              <w:t>Total No. of staff</w:t>
            </w:r>
          </w:p>
        </w:tc>
        <w:tc>
          <w:tcPr>
            <w:tcW w:w="1543" w:type="dxa"/>
            <w:tcBorders>
              <w:top w:val="single" w:sz="4" w:space="0" w:color="auto"/>
              <w:left w:val="single" w:sz="4" w:space="0" w:color="auto"/>
              <w:bottom w:val="single" w:sz="4" w:space="0" w:color="auto"/>
              <w:right w:val="single" w:sz="4" w:space="0" w:color="auto"/>
            </w:tcBorders>
          </w:tcPr>
          <w:p w14:paraId="4E8344A4" w14:textId="77777777" w:rsidR="008C4479" w:rsidRDefault="00AC16EA" w:rsidP="008C4479">
            <w:pPr>
              <w:jc w:val="center"/>
            </w:pPr>
            <w:r>
              <w:t>1069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ED1F3F" w14:textId="77777777" w:rsidR="008C4479" w:rsidRDefault="00AC16EA" w:rsidP="008C4479">
            <w:pPr>
              <w:jc w:val="center"/>
              <w:rPr>
                <w:color w:val="000000"/>
              </w:rPr>
            </w:pPr>
            <w:r>
              <w:rPr>
                <w:color w:val="000000"/>
              </w:rPr>
              <w:t>1,095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FD47B4B" w14:textId="77777777" w:rsidR="008C4479" w:rsidRDefault="00DB3F49" w:rsidP="008C4479">
            <w:r>
              <w:t>+26</w:t>
            </w:r>
          </w:p>
        </w:tc>
        <w:tc>
          <w:tcPr>
            <w:tcW w:w="1276" w:type="dxa"/>
            <w:tcBorders>
              <w:top w:val="single" w:sz="4" w:space="0" w:color="auto"/>
              <w:left w:val="single" w:sz="4" w:space="0" w:color="auto"/>
              <w:bottom w:val="single" w:sz="4" w:space="0" w:color="auto"/>
              <w:right w:val="single" w:sz="4" w:space="0" w:color="auto"/>
            </w:tcBorders>
          </w:tcPr>
          <w:p w14:paraId="258ACA0F" w14:textId="77777777" w:rsidR="008C4479" w:rsidRPr="00EB000F" w:rsidRDefault="00DB3F49" w:rsidP="008C4479">
            <w:r>
              <w:t>Full Target Achieved</w:t>
            </w:r>
          </w:p>
        </w:tc>
        <w:tc>
          <w:tcPr>
            <w:tcW w:w="1984" w:type="dxa"/>
            <w:tcBorders>
              <w:top w:val="single" w:sz="4" w:space="0" w:color="auto"/>
              <w:left w:val="single" w:sz="4" w:space="0" w:color="auto"/>
              <w:bottom w:val="single" w:sz="4" w:space="0" w:color="auto"/>
            </w:tcBorders>
          </w:tcPr>
          <w:p w14:paraId="587664CF" w14:textId="77777777" w:rsidR="008C4479" w:rsidRPr="00622FF3" w:rsidRDefault="008C4479" w:rsidP="008C4479">
            <w:pPr>
              <w:pStyle w:val="NoSpacing"/>
            </w:pPr>
          </w:p>
        </w:tc>
      </w:tr>
      <w:tr w:rsidR="00AC16EA" w:rsidRPr="00B64A59" w14:paraId="4E71729D"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7792E4C6" w14:textId="77777777" w:rsidR="00AC16EA" w:rsidRDefault="00AC16EA" w:rsidP="008C4479">
            <w:pPr>
              <w:rPr>
                <w:i/>
                <w:iCs/>
                <w:color w:val="000000"/>
              </w:rPr>
            </w:pPr>
            <w:r>
              <w:rPr>
                <w:i/>
                <w:iCs/>
                <w:color w:val="000000"/>
              </w:rPr>
              <w:t>Male</w:t>
            </w:r>
          </w:p>
        </w:tc>
        <w:tc>
          <w:tcPr>
            <w:tcW w:w="1543" w:type="dxa"/>
            <w:tcBorders>
              <w:top w:val="single" w:sz="4" w:space="0" w:color="auto"/>
              <w:left w:val="single" w:sz="4" w:space="0" w:color="auto"/>
              <w:bottom w:val="single" w:sz="4" w:space="0" w:color="auto"/>
              <w:right w:val="single" w:sz="4" w:space="0" w:color="auto"/>
            </w:tcBorders>
          </w:tcPr>
          <w:p w14:paraId="595F7737" w14:textId="77777777" w:rsidR="00AC16EA" w:rsidRDefault="00AC16EA" w:rsidP="008C4479">
            <w:pPr>
              <w:jc w:val="center"/>
            </w:pPr>
            <w:r>
              <w:t>315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6D596A" w14:textId="77777777" w:rsidR="00AC16EA" w:rsidRDefault="00AC16EA" w:rsidP="008C4479">
            <w:pPr>
              <w:jc w:val="center"/>
              <w:rPr>
                <w:color w:val="000000"/>
              </w:rPr>
            </w:pPr>
            <w:r>
              <w:rPr>
                <w:color w:val="000000"/>
              </w:rPr>
              <w:t>329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40C0896" w14:textId="77777777" w:rsidR="00AC16EA" w:rsidRDefault="00AC16EA" w:rsidP="008C4479"/>
        </w:tc>
        <w:tc>
          <w:tcPr>
            <w:tcW w:w="1276" w:type="dxa"/>
            <w:tcBorders>
              <w:top w:val="single" w:sz="4" w:space="0" w:color="auto"/>
              <w:left w:val="single" w:sz="4" w:space="0" w:color="auto"/>
              <w:bottom w:val="single" w:sz="4" w:space="0" w:color="auto"/>
              <w:right w:val="single" w:sz="4" w:space="0" w:color="auto"/>
            </w:tcBorders>
          </w:tcPr>
          <w:p w14:paraId="5CB20422" w14:textId="77777777" w:rsidR="00AC16EA" w:rsidRPr="00EB000F" w:rsidRDefault="00AC16EA" w:rsidP="008C4479"/>
        </w:tc>
        <w:tc>
          <w:tcPr>
            <w:tcW w:w="1984" w:type="dxa"/>
            <w:tcBorders>
              <w:top w:val="single" w:sz="4" w:space="0" w:color="auto"/>
              <w:left w:val="single" w:sz="4" w:space="0" w:color="auto"/>
              <w:bottom w:val="single" w:sz="4" w:space="0" w:color="auto"/>
            </w:tcBorders>
          </w:tcPr>
          <w:p w14:paraId="34557B8C" w14:textId="77777777" w:rsidR="00AC16EA" w:rsidRPr="00622FF3" w:rsidRDefault="00AC16EA" w:rsidP="008C4479">
            <w:pPr>
              <w:pStyle w:val="NoSpacing"/>
            </w:pPr>
          </w:p>
        </w:tc>
      </w:tr>
      <w:tr w:rsidR="00AC16EA" w:rsidRPr="00B64A59" w14:paraId="020F0CFF"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7146D92F" w14:textId="77777777" w:rsidR="00AC16EA" w:rsidRDefault="00AC16EA" w:rsidP="008C4479">
            <w:pPr>
              <w:rPr>
                <w:i/>
                <w:iCs/>
                <w:color w:val="000000"/>
              </w:rPr>
            </w:pPr>
            <w:r>
              <w:rPr>
                <w:i/>
                <w:iCs/>
                <w:color w:val="000000"/>
              </w:rPr>
              <w:t>Female</w:t>
            </w:r>
          </w:p>
        </w:tc>
        <w:tc>
          <w:tcPr>
            <w:tcW w:w="1543" w:type="dxa"/>
            <w:tcBorders>
              <w:top w:val="single" w:sz="4" w:space="0" w:color="auto"/>
              <w:left w:val="single" w:sz="4" w:space="0" w:color="auto"/>
              <w:bottom w:val="single" w:sz="4" w:space="0" w:color="auto"/>
              <w:right w:val="single" w:sz="4" w:space="0" w:color="auto"/>
            </w:tcBorders>
          </w:tcPr>
          <w:p w14:paraId="4606CC58" w14:textId="77777777" w:rsidR="00AC16EA" w:rsidRDefault="00AC16EA" w:rsidP="008C4479">
            <w:pPr>
              <w:jc w:val="center"/>
            </w:pPr>
            <w:r>
              <w:t>754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DA37F2" w14:textId="77777777" w:rsidR="00AC16EA" w:rsidRDefault="00AC16EA" w:rsidP="008C4479">
            <w:pPr>
              <w:jc w:val="center"/>
              <w:rPr>
                <w:color w:val="000000"/>
              </w:rPr>
            </w:pPr>
            <w:r>
              <w:rPr>
                <w:color w:val="000000"/>
              </w:rPr>
              <w:t>766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7A0E894" w14:textId="77777777" w:rsidR="00AC16EA" w:rsidRDefault="00AC16EA" w:rsidP="008C4479"/>
        </w:tc>
        <w:tc>
          <w:tcPr>
            <w:tcW w:w="1276" w:type="dxa"/>
            <w:tcBorders>
              <w:top w:val="single" w:sz="4" w:space="0" w:color="auto"/>
              <w:left w:val="single" w:sz="4" w:space="0" w:color="auto"/>
              <w:bottom w:val="single" w:sz="4" w:space="0" w:color="auto"/>
              <w:right w:val="single" w:sz="4" w:space="0" w:color="auto"/>
            </w:tcBorders>
          </w:tcPr>
          <w:p w14:paraId="430728F1" w14:textId="77777777" w:rsidR="00AC16EA" w:rsidRPr="00EB000F" w:rsidRDefault="00AC16EA" w:rsidP="008C4479"/>
        </w:tc>
        <w:tc>
          <w:tcPr>
            <w:tcW w:w="1984" w:type="dxa"/>
            <w:tcBorders>
              <w:top w:val="single" w:sz="4" w:space="0" w:color="auto"/>
              <w:left w:val="single" w:sz="4" w:space="0" w:color="auto"/>
              <w:bottom w:val="single" w:sz="4" w:space="0" w:color="auto"/>
            </w:tcBorders>
          </w:tcPr>
          <w:p w14:paraId="04BA81B7" w14:textId="77777777" w:rsidR="00AC16EA" w:rsidRPr="00622FF3" w:rsidRDefault="00AC16EA" w:rsidP="008C4479">
            <w:pPr>
              <w:pStyle w:val="NoSpacing"/>
            </w:pPr>
          </w:p>
        </w:tc>
      </w:tr>
      <w:tr w:rsidR="00AC16EA" w:rsidRPr="00B64A59" w14:paraId="0EBA3C34"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16723901" w14:textId="77777777" w:rsidR="00AC16EA" w:rsidRDefault="00AC16EA" w:rsidP="00AC16EA">
            <w:pPr>
              <w:rPr>
                <w:i/>
                <w:iCs/>
                <w:color w:val="000000"/>
              </w:rPr>
            </w:pPr>
            <w:r>
              <w:rPr>
                <w:i/>
                <w:iCs/>
                <w:color w:val="000000"/>
              </w:rPr>
              <w:t>No.</w:t>
            </w:r>
            <w:r w:rsidR="00884B21">
              <w:rPr>
                <w:i/>
                <w:iCs/>
                <w:color w:val="000000"/>
              </w:rPr>
              <w:t xml:space="preserve"> </w:t>
            </w:r>
            <w:r>
              <w:rPr>
                <w:i/>
                <w:iCs/>
                <w:color w:val="000000"/>
              </w:rPr>
              <w:t>of Staff Receiving Salary and Benefits on Time</w:t>
            </w:r>
          </w:p>
        </w:tc>
        <w:tc>
          <w:tcPr>
            <w:tcW w:w="1543" w:type="dxa"/>
            <w:tcBorders>
              <w:top w:val="single" w:sz="4" w:space="0" w:color="auto"/>
              <w:left w:val="single" w:sz="4" w:space="0" w:color="auto"/>
              <w:bottom w:val="single" w:sz="4" w:space="0" w:color="auto"/>
              <w:right w:val="single" w:sz="4" w:space="0" w:color="auto"/>
            </w:tcBorders>
          </w:tcPr>
          <w:p w14:paraId="37018ED8" w14:textId="77777777" w:rsidR="00AC16EA" w:rsidRDefault="00AC16EA" w:rsidP="00AC16EA">
            <w:pPr>
              <w:jc w:val="center"/>
            </w:pPr>
            <w:r>
              <w:t>1069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D1B6C8" w14:textId="77777777" w:rsidR="00AC16EA" w:rsidRDefault="00DB3F49" w:rsidP="00AC16EA">
            <w:pPr>
              <w:jc w:val="center"/>
              <w:rPr>
                <w:color w:val="000000"/>
              </w:rPr>
            </w:pPr>
            <w:r>
              <w:rPr>
                <w:color w:val="000000"/>
              </w:rPr>
              <w:t>1,095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55DE6FA" w14:textId="77777777" w:rsidR="00AC16EA" w:rsidRDefault="00DB3F49" w:rsidP="00AC16EA">
            <w:r>
              <w:t>+26</w:t>
            </w:r>
          </w:p>
        </w:tc>
        <w:tc>
          <w:tcPr>
            <w:tcW w:w="1276" w:type="dxa"/>
            <w:tcBorders>
              <w:top w:val="single" w:sz="4" w:space="0" w:color="auto"/>
              <w:left w:val="single" w:sz="4" w:space="0" w:color="auto"/>
              <w:bottom w:val="single" w:sz="4" w:space="0" w:color="auto"/>
              <w:right w:val="single" w:sz="4" w:space="0" w:color="auto"/>
            </w:tcBorders>
          </w:tcPr>
          <w:p w14:paraId="2E72FA3C" w14:textId="77777777" w:rsidR="00AC16EA" w:rsidRPr="00EB000F" w:rsidRDefault="00DB3F49" w:rsidP="00AC16EA">
            <w:r>
              <w:t>Full Target Achieved</w:t>
            </w:r>
          </w:p>
        </w:tc>
        <w:tc>
          <w:tcPr>
            <w:tcW w:w="1984" w:type="dxa"/>
            <w:tcBorders>
              <w:top w:val="single" w:sz="4" w:space="0" w:color="auto"/>
              <w:left w:val="single" w:sz="4" w:space="0" w:color="auto"/>
              <w:bottom w:val="single" w:sz="4" w:space="0" w:color="auto"/>
            </w:tcBorders>
          </w:tcPr>
          <w:p w14:paraId="0BF69B8E" w14:textId="77777777" w:rsidR="00AC16EA" w:rsidRPr="00622FF3" w:rsidRDefault="00AC16EA" w:rsidP="00AC16EA">
            <w:pPr>
              <w:pStyle w:val="NoSpacing"/>
            </w:pPr>
          </w:p>
        </w:tc>
      </w:tr>
      <w:tr w:rsidR="00AC16EA" w:rsidRPr="00B64A59" w14:paraId="65BF39F1"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19A4516A" w14:textId="77777777" w:rsidR="00AC16EA" w:rsidRDefault="00AC16EA" w:rsidP="00AC16EA">
            <w:pPr>
              <w:rPr>
                <w:i/>
                <w:iCs/>
                <w:color w:val="000000"/>
              </w:rPr>
            </w:pPr>
            <w:r>
              <w:rPr>
                <w:i/>
                <w:iCs/>
                <w:color w:val="000000"/>
              </w:rPr>
              <w:t>Male</w:t>
            </w:r>
          </w:p>
        </w:tc>
        <w:tc>
          <w:tcPr>
            <w:tcW w:w="1543" w:type="dxa"/>
            <w:tcBorders>
              <w:top w:val="single" w:sz="4" w:space="0" w:color="auto"/>
              <w:left w:val="single" w:sz="4" w:space="0" w:color="auto"/>
              <w:bottom w:val="single" w:sz="4" w:space="0" w:color="auto"/>
              <w:right w:val="single" w:sz="4" w:space="0" w:color="auto"/>
            </w:tcBorders>
          </w:tcPr>
          <w:p w14:paraId="4FD3FDAA" w14:textId="77777777" w:rsidR="00AC16EA" w:rsidRDefault="00AC16EA" w:rsidP="00AC16EA">
            <w:pPr>
              <w:jc w:val="center"/>
            </w:pPr>
            <w:r>
              <w:t>315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B73867" w14:textId="77777777" w:rsidR="00AC16EA" w:rsidRDefault="00884B21" w:rsidP="00AC16EA">
            <w:pPr>
              <w:jc w:val="center"/>
              <w:rPr>
                <w:color w:val="000000"/>
              </w:rPr>
            </w:pPr>
            <w:r>
              <w:rPr>
                <w:color w:val="000000"/>
              </w:rPr>
              <w:t>329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9FB9280" w14:textId="77777777" w:rsidR="00AC16EA" w:rsidRDefault="00AC16EA" w:rsidP="00AC16EA"/>
        </w:tc>
        <w:tc>
          <w:tcPr>
            <w:tcW w:w="1276" w:type="dxa"/>
            <w:tcBorders>
              <w:top w:val="single" w:sz="4" w:space="0" w:color="auto"/>
              <w:left w:val="single" w:sz="4" w:space="0" w:color="auto"/>
              <w:bottom w:val="single" w:sz="4" w:space="0" w:color="auto"/>
              <w:right w:val="single" w:sz="4" w:space="0" w:color="auto"/>
            </w:tcBorders>
          </w:tcPr>
          <w:p w14:paraId="632FEC20" w14:textId="77777777" w:rsidR="00AC16EA" w:rsidRPr="00EB000F" w:rsidRDefault="00AC16EA" w:rsidP="00AC16EA"/>
        </w:tc>
        <w:tc>
          <w:tcPr>
            <w:tcW w:w="1984" w:type="dxa"/>
            <w:tcBorders>
              <w:top w:val="single" w:sz="4" w:space="0" w:color="auto"/>
              <w:left w:val="single" w:sz="4" w:space="0" w:color="auto"/>
              <w:bottom w:val="single" w:sz="4" w:space="0" w:color="auto"/>
            </w:tcBorders>
          </w:tcPr>
          <w:p w14:paraId="4082673C" w14:textId="77777777" w:rsidR="00AC16EA" w:rsidRPr="00622FF3" w:rsidRDefault="00AC16EA" w:rsidP="00AC16EA">
            <w:pPr>
              <w:pStyle w:val="NoSpacing"/>
            </w:pPr>
          </w:p>
        </w:tc>
      </w:tr>
      <w:tr w:rsidR="00AC16EA" w:rsidRPr="00B64A59" w14:paraId="28376E11"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741EC7E3" w14:textId="77777777" w:rsidR="00AC16EA" w:rsidRDefault="00AC16EA" w:rsidP="00AC16EA">
            <w:pPr>
              <w:rPr>
                <w:i/>
                <w:iCs/>
                <w:color w:val="000000"/>
              </w:rPr>
            </w:pPr>
            <w:r>
              <w:rPr>
                <w:i/>
                <w:iCs/>
                <w:color w:val="000000"/>
              </w:rPr>
              <w:t>Female</w:t>
            </w:r>
          </w:p>
        </w:tc>
        <w:tc>
          <w:tcPr>
            <w:tcW w:w="1543" w:type="dxa"/>
            <w:tcBorders>
              <w:top w:val="single" w:sz="4" w:space="0" w:color="auto"/>
              <w:left w:val="single" w:sz="4" w:space="0" w:color="auto"/>
              <w:bottom w:val="single" w:sz="4" w:space="0" w:color="auto"/>
              <w:right w:val="single" w:sz="4" w:space="0" w:color="auto"/>
            </w:tcBorders>
          </w:tcPr>
          <w:p w14:paraId="5BE73A89" w14:textId="77777777" w:rsidR="00AC16EA" w:rsidRDefault="00AC16EA" w:rsidP="00AC16EA">
            <w:pPr>
              <w:jc w:val="center"/>
            </w:pPr>
            <w:r>
              <w:t>754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BD8956" w14:textId="77777777" w:rsidR="00AC16EA" w:rsidRDefault="00884B21" w:rsidP="00AC16EA">
            <w:pPr>
              <w:jc w:val="center"/>
              <w:rPr>
                <w:color w:val="000000"/>
              </w:rPr>
            </w:pPr>
            <w:r>
              <w:rPr>
                <w:color w:val="000000"/>
              </w:rPr>
              <w:t>766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24A93D8" w14:textId="77777777" w:rsidR="00AC16EA" w:rsidRDefault="00AC16EA" w:rsidP="00AC16EA"/>
        </w:tc>
        <w:tc>
          <w:tcPr>
            <w:tcW w:w="1276" w:type="dxa"/>
            <w:tcBorders>
              <w:top w:val="single" w:sz="4" w:space="0" w:color="auto"/>
              <w:left w:val="single" w:sz="4" w:space="0" w:color="auto"/>
              <w:bottom w:val="single" w:sz="4" w:space="0" w:color="auto"/>
              <w:right w:val="single" w:sz="4" w:space="0" w:color="auto"/>
            </w:tcBorders>
          </w:tcPr>
          <w:p w14:paraId="521672A6" w14:textId="77777777" w:rsidR="00AC16EA" w:rsidRPr="00EB000F" w:rsidRDefault="00AC16EA" w:rsidP="00AC16EA"/>
        </w:tc>
        <w:tc>
          <w:tcPr>
            <w:tcW w:w="1984" w:type="dxa"/>
            <w:tcBorders>
              <w:top w:val="single" w:sz="4" w:space="0" w:color="auto"/>
              <w:left w:val="single" w:sz="4" w:space="0" w:color="auto"/>
              <w:bottom w:val="single" w:sz="4" w:space="0" w:color="auto"/>
            </w:tcBorders>
          </w:tcPr>
          <w:p w14:paraId="42393873" w14:textId="77777777" w:rsidR="00AC16EA" w:rsidRPr="00622FF3" w:rsidRDefault="00AC16EA" w:rsidP="00AC16EA">
            <w:pPr>
              <w:pStyle w:val="NoSpacing"/>
            </w:pPr>
          </w:p>
        </w:tc>
      </w:tr>
      <w:tr w:rsidR="00884B21" w:rsidRPr="00B64A59" w14:paraId="274ED247"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DEEAF6" w:themeFill="accent1" w:themeFillTint="33"/>
          </w:tcPr>
          <w:p w14:paraId="7186574B" w14:textId="77777777" w:rsidR="00884B21" w:rsidRDefault="00884B21" w:rsidP="00AC16EA">
            <w:pPr>
              <w:rPr>
                <w:i/>
                <w:iCs/>
                <w:color w:val="000000"/>
              </w:rPr>
            </w:pPr>
            <w:r>
              <w:rPr>
                <w:i/>
                <w:iCs/>
                <w:color w:val="000000"/>
              </w:rPr>
              <w:t>Legal Services</w:t>
            </w:r>
          </w:p>
        </w:tc>
        <w:tc>
          <w:tcPr>
            <w:tcW w:w="15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CFBF46" w14:textId="77777777" w:rsidR="00884B21" w:rsidRDefault="00884B21" w:rsidP="00AC16EA">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E9B0FA" w14:textId="77777777" w:rsidR="00884B21" w:rsidRDefault="00884B21" w:rsidP="00AC16EA">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374AC6" w14:textId="77777777" w:rsidR="00884B21" w:rsidRDefault="00884B21" w:rsidP="00AC16EA"/>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3C739C" w14:textId="77777777" w:rsidR="00884B21" w:rsidRPr="00EB000F" w:rsidRDefault="00884B21" w:rsidP="00AC16EA"/>
        </w:tc>
        <w:tc>
          <w:tcPr>
            <w:tcW w:w="1984" w:type="dxa"/>
            <w:tcBorders>
              <w:top w:val="single" w:sz="4" w:space="0" w:color="auto"/>
              <w:left w:val="single" w:sz="4" w:space="0" w:color="auto"/>
              <w:bottom w:val="single" w:sz="4" w:space="0" w:color="auto"/>
            </w:tcBorders>
            <w:shd w:val="clear" w:color="auto" w:fill="DEEAF6" w:themeFill="accent1" w:themeFillTint="33"/>
          </w:tcPr>
          <w:p w14:paraId="632BEDCE" w14:textId="77777777" w:rsidR="00884B21" w:rsidRPr="00622FF3" w:rsidRDefault="00884B21" w:rsidP="00AC16EA">
            <w:pPr>
              <w:pStyle w:val="NoSpacing"/>
            </w:pPr>
          </w:p>
        </w:tc>
      </w:tr>
      <w:tr w:rsidR="00884B21" w:rsidRPr="00B64A59" w14:paraId="4A192AFB"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15E5AA7D" w14:textId="77777777" w:rsidR="00884B21" w:rsidRPr="00A01FC8" w:rsidRDefault="00884B21" w:rsidP="00884B21">
            <w:r w:rsidRPr="00A01FC8">
              <w:t>Percentage of litigated cases resolved in favor of the Department or Department Personnel</w:t>
            </w:r>
          </w:p>
        </w:tc>
        <w:tc>
          <w:tcPr>
            <w:tcW w:w="1543" w:type="dxa"/>
            <w:tcBorders>
              <w:top w:val="single" w:sz="4" w:space="0" w:color="auto"/>
              <w:left w:val="single" w:sz="4" w:space="0" w:color="auto"/>
              <w:bottom w:val="single" w:sz="4" w:space="0" w:color="auto"/>
              <w:right w:val="single" w:sz="4" w:space="0" w:color="auto"/>
            </w:tcBorders>
          </w:tcPr>
          <w:p w14:paraId="26CA35D5" w14:textId="77777777" w:rsidR="00884B21" w:rsidRDefault="00884B21" w:rsidP="00884B21">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7FFD9A" w14:textId="77777777" w:rsidR="00884B21" w:rsidRDefault="00884B21" w:rsidP="00884B21">
            <w:pPr>
              <w:jc w:val="center"/>
              <w:rPr>
                <w:color w:val="000000"/>
              </w:rPr>
            </w:pPr>
            <w:r>
              <w:rPr>
                <w:color w:val="000000"/>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730D2E3" w14:textId="77777777" w:rsidR="00884B21" w:rsidRDefault="00565F04" w:rsidP="00884B21">
            <w:r>
              <w:t>0</w:t>
            </w:r>
          </w:p>
        </w:tc>
        <w:tc>
          <w:tcPr>
            <w:tcW w:w="1276" w:type="dxa"/>
            <w:tcBorders>
              <w:top w:val="single" w:sz="4" w:space="0" w:color="auto"/>
              <w:left w:val="single" w:sz="4" w:space="0" w:color="auto"/>
              <w:bottom w:val="single" w:sz="4" w:space="0" w:color="auto"/>
              <w:right w:val="single" w:sz="4" w:space="0" w:color="auto"/>
            </w:tcBorders>
          </w:tcPr>
          <w:p w14:paraId="5717356A" w14:textId="77777777" w:rsidR="00884B21" w:rsidRPr="00EB000F" w:rsidRDefault="00565F04" w:rsidP="00884B21">
            <w:r>
              <w:t>Full Target Achieved</w:t>
            </w:r>
          </w:p>
        </w:tc>
        <w:tc>
          <w:tcPr>
            <w:tcW w:w="1984" w:type="dxa"/>
            <w:tcBorders>
              <w:top w:val="single" w:sz="4" w:space="0" w:color="auto"/>
              <w:left w:val="single" w:sz="4" w:space="0" w:color="auto"/>
              <w:bottom w:val="single" w:sz="4" w:space="0" w:color="auto"/>
            </w:tcBorders>
          </w:tcPr>
          <w:p w14:paraId="30691361" w14:textId="77777777" w:rsidR="00884B21" w:rsidRPr="00622FF3" w:rsidRDefault="00884B21" w:rsidP="00884B21">
            <w:pPr>
              <w:pStyle w:val="NoSpacing"/>
            </w:pPr>
          </w:p>
        </w:tc>
      </w:tr>
      <w:tr w:rsidR="00565F04" w:rsidRPr="00B64A59" w14:paraId="4B7619F5"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4292C89C" w14:textId="77777777" w:rsidR="00565F04" w:rsidRPr="00A01FC8" w:rsidRDefault="00565F04" w:rsidP="00565F04">
            <w:r w:rsidRPr="00A01FC8">
              <w:t>No. of Litigated Cases Resolved with Favorable Outcome</w:t>
            </w:r>
          </w:p>
        </w:tc>
        <w:tc>
          <w:tcPr>
            <w:tcW w:w="1543" w:type="dxa"/>
            <w:tcBorders>
              <w:top w:val="single" w:sz="4" w:space="0" w:color="auto"/>
              <w:left w:val="single" w:sz="4" w:space="0" w:color="auto"/>
              <w:bottom w:val="single" w:sz="4" w:space="0" w:color="auto"/>
              <w:right w:val="single" w:sz="4" w:space="0" w:color="auto"/>
            </w:tcBorders>
          </w:tcPr>
          <w:p w14:paraId="1426D1F4" w14:textId="77777777" w:rsidR="00565F04" w:rsidRDefault="00565F04" w:rsidP="00565F04">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5149D8" w14:textId="77777777" w:rsidR="00565F04" w:rsidRDefault="00565F04" w:rsidP="00565F04">
            <w:pPr>
              <w:jc w:val="center"/>
              <w:rPr>
                <w:color w:val="000000"/>
              </w:rPr>
            </w:pPr>
            <w:r>
              <w:rPr>
                <w:color w:val="000000"/>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98AB2E5"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18FDC35A" w14:textId="77777777" w:rsidR="00565F04" w:rsidRDefault="00565F04" w:rsidP="00565F04">
            <w:r w:rsidRPr="00BF7411">
              <w:t>Full Target Achieved</w:t>
            </w:r>
          </w:p>
        </w:tc>
        <w:tc>
          <w:tcPr>
            <w:tcW w:w="1984" w:type="dxa"/>
            <w:tcBorders>
              <w:top w:val="single" w:sz="4" w:space="0" w:color="auto"/>
              <w:left w:val="single" w:sz="4" w:space="0" w:color="auto"/>
              <w:bottom w:val="single" w:sz="4" w:space="0" w:color="auto"/>
            </w:tcBorders>
          </w:tcPr>
          <w:p w14:paraId="5A3C0419" w14:textId="77777777" w:rsidR="00565F04" w:rsidRPr="00622FF3" w:rsidRDefault="00565F04" w:rsidP="00565F04">
            <w:pPr>
              <w:pStyle w:val="NoSpacing"/>
            </w:pPr>
          </w:p>
        </w:tc>
      </w:tr>
      <w:tr w:rsidR="00565F04" w:rsidRPr="00B64A59" w14:paraId="3425838E"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0CCEB4E8" w14:textId="77777777" w:rsidR="00565F04" w:rsidRPr="00A01FC8" w:rsidRDefault="00565F04" w:rsidP="00565F04">
            <w:r w:rsidRPr="00A01FC8">
              <w:t>Total No.of Litigated Cases Resolved</w:t>
            </w:r>
          </w:p>
        </w:tc>
        <w:tc>
          <w:tcPr>
            <w:tcW w:w="1543" w:type="dxa"/>
            <w:tcBorders>
              <w:top w:val="single" w:sz="4" w:space="0" w:color="auto"/>
              <w:left w:val="single" w:sz="4" w:space="0" w:color="auto"/>
              <w:bottom w:val="single" w:sz="4" w:space="0" w:color="auto"/>
              <w:right w:val="single" w:sz="4" w:space="0" w:color="auto"/>
            </w:tcBorders>
          </w:tcPr>
          <w:p w14:paraId="70FEE725" w14:textId="77777777" w:rsidR="00565F04" w:rsidRDefault="00565F04" w:rsidP="00565F04">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F65F7D" w14:textId="77777777" w:rsidR="00565F04" w:rsidRDefault="00565F04" w:rsidP="00565F04">
            <w:pPr>
              <w:jc w:val="center"/>
              <w:rPr>
                <w:color w:val="000000"/>
              </w:rPr>
            </w:pPr>
            <w:r>
              <w:rPr>
                <w:color w:val="000000"/>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FBA31B9"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55127506" w14:textId="77777777" w:rsidR="00565F04" w:rsidRDefault="00565F04" w:rsidP="00565F04">
            <w:r w:rsidRPr="00BF7411">
              <w:t>Full Target Achieved</w:t>
            </w:r>
          </w:p>
        </w:tc>
        <w:tc>
          <w:tcPr>
            <w:tcW w:w="1984" w:type="dxa"/>
            <w:tcBorders>
              <w:top w:val="single" w:sz="4" w:space="0" w:color="auto"/>
              <w:left w:val="single" w:sz="4" w:space="0" w:color="auto"/>
              <w:bottom w:val="single" w:sz="4" w:space="0" w:color="auto"/>
            </w:tcBorders>
          </w:tcPr>
          <w:p w14:paraId="402059E5" w14:textId="77777777" w:rsidR="00565F04" w:rsidRPr="00622FF3" w:rsidRDefault="00565F04" w:rsidP="00565F04">
            <w:pPr>
              <w:pStyle w:val="NoSpacing"/>
            </w:pPr>
          </w:p>
        </w:tc>
      </w:tr>
      <w:tr w:rsidR="00565F04" w:rsidRPr="00B64A59" w14:paraId="4766E573"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1E349E81" w14:textId="77777777" w:rsidR="00565F04" w:rsidRPr="00A01FC8" w:rsidRDefault="00565F04" w:rsidP="00565F04">
            <w:r w:rsidRPr="00A01FC8">
              <w:t>7.5.1 Number of hearings attended</w:t>
            </w:r>
          </w:p>
        </w:tc>
        <w:tc>
          <w:tcPr>
            <w:tcW w:w="1543" w:type="dxa"/>
            <w:tcBorders>
              <w:top w:val="single" w:sz="4" w:space="0" w:color="auto"/>
              <w:left w:val="single" w:sz="4" w:space="0" w:color="auto"/>
              <w:bottom w:val="single" w:sz="4" w:space="0" w:color="auto"/>
              <w:right w:val="single" w:sz="4" w:space="0" w:color="auto"/>
            </w:tcBorders>
          </w:tcPr>
          <w:p w14:paraId="63B16C04" w14:textId="77777777" w:rsidR="00565F04" w:rsidRDefault="00565F04" w:rsidP="00565F04">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89B54A" w14:textId="77777777" w:rsidR="00565F04" w:rsidRDefault="00565F04" w:rsidP="00565F04">
            <w:pPr>
              <w:jc w:val="center"/>
              <w:rPr>
                <w:color w:val="000000"/>
              </w:rPr>
            </w:pPr>
            <w:r>
              <w:rPr>
                <w:color w:val="000000"/>
              </w:rPr>
              <w:t>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5FC9792"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064FA504" w14:textId="77777777" w:rsidR="00565F04" w:rsidRDefault="00565F04" w:rsidP="00565F04">
            <w:r w:rsidRPr="00BF7411">
              <w:t>Full Target Achieved</w:t>
            </w:r>
          </w:p>
        </w:tc>
        <w:tc>
          <w:tcPr>
            <w:tcW w:w="1984" w:type="dxa"/>
            <w:tcBorders>
              <w:top w:val="single" w:sz="4" w:space="0" w:color="auto"/>
              <w:left w:val="single" w:sz="4" w:space="0" w:color="auto"/>
              <w:bottom w:val="single" w:sz="4" w:space="0" w:color="auto"/>
            </w:tcBorders>
          </w:tcPr>
          <w:p w14:paraId="387A5049" w14:textId="77777777" w:rsidR="00565F04" w:rsidRPr="00622FF3" w:rsidRDefault="00565F04" w:rsidP="00565F04">
            <w:pPr>
              <w:pStyle w:val="NoSpacing"/>
            </w:pPr>
          </w:p>
        </w:tc>
      </w:tr>
      <w:tr w:rsidR="00565F04" w:rsidRPr="00B64A59" w14:paraId="41D27392"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517D39F4" w14:textId="77777777" w:rsidR="00565F04" w:rsidRPr="00A01FC8" w:rsidRDefault="00565F04" w:rsidP="00565F04">
            <w:r w:rsidRPr="00A01FC8">
              <w:t xml:space="preserve">7.5.2 Number of </w:t>
            </w:r>
            <w:r>
              <w:t>preliminary</w:t>
            </w:r>
            <w:r w:rsidRPr="00A01FC8">
              <w:t xml:space="preserve"> investigations and/or case conferences attended</w:t>
            </w:r>
          </w:p>
        </w:tc>
        <w:tc>
          <w:tcPr>
            <w:tcW w:w="1543" w:type="dxa"/>
            <w:tcBorders>
              <w:top w:val="single" w:sz="4" w:space="0" w:color="auto"/>
              <w:left w:val="single" w:sz="4" w:space="0" w:color="auto"/>
              <w:bottom w:val="single" w:sz="4" w:space="0" w:color="auto"/>
              <w:right w:val="single" w:sz="4" w:space="0" w:color="auto"/>
            </w:tcBorders>
          </w:tcPr>
          <w:p w14:paraId="4C2522ED" w14:textId="77777777" w:rsidR="00565F04" w:rsidRDefault="00565F04" w:rsidP="00565F04">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B9BD68" w14:textId="77777777" w:rsidR="00565F04" w:rsidRDefault="00565F04" w:rsidP="00565F04">
            <w:pPr>
              <w:jc w:val="center"/>
              <w:rPr>
                <w:color w:val="000000"/>
              </w:rPr>
            </w:pPr>
            <w:r>
              <w:rPr>
                <w:color w:val="000000"/>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BA41A6B"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21965A55" w14:textId="77777777" w:rsidR="00565F04" w:rsidRDefault="00565F04" w:rsidP="00565F04">
            <w:r w:rsidRPr="00BF7411">
              <w:t>Full Target Achieved</w:t>
            </w:r>
          </w:p>
        </w:tc>
        <w:tc>
          <w:tcPr>
            <w:tcW w:w="1984" w:type="dxa"/>
            <w:tcBorders>
              <w:top w:val="single" w:sz="4" w:space="0" w:color="auto"/>
              <w:left w:val="single" w:sz="4" w:space="0" w:color="auto"/>
              <w:bottom w:val="single" w:sz="4" w:space="0" w:color="auto"/>
            </w:tcBorders>
          </w:tcPr>
          <w:p w14:paraId="20143218" w14:textId="77777777" w:rsidR="00565F04" w:rsidRPr="00622FF3" w:rsidRDefault="00565F04" w:rsidP="00565F04">
            <w:pPr>
              <w:pStyle w:val="NoSpacing"/>
            </w:pPr>
          </w:p>
        </w:tc>
      </w:tr>
      <w:tr w:rsidR="00565F04" w:rsidRPr="00B64A59" w14:paraId="0DD4F97B"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41A8925D" w14:textId="77777777" w:rsidR="00565F04" w:rsidRPr="00A01FC8" w:rsidRDefault="00565F04" w:rsidP="00565F04">
            <w:r w:rsidRPr="00A01FC8">
              <w:t>Percentage of requests for legal assistance addressed</w:t>
            </w:r>
          </w:p>
        </w:tc>
        <w:tc>
          <w:tcPr>
            <w:tcW w:w="1543" w:type="dxa"/>
            <w:tcBorders>
              <w:top w:val="single" w:sz="4" w:space="0" w:color="auto"/>
              <w:left w:val="single" w:sz="4" w:space="0" w:color="auto"/>
              <w:bottom w:val="single" w:sz="4" w:space="0" w:color="auto"/>
              <w:right w:val="single" w:sz="4" w:space="0" w:color="auto"/>
            </w:tcBorders>
          </w:tcPr>
          <w:p w14:paraId="7B03C9F5" w14:textId="77777777" w:rsidR="00565F04" w:rsidRDefault="00565F04" w:rsidP="00565F04">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67A37B" w14:textId="77777777" w:rsidR="00565F04" w:rsidRDefault="00565F04" w:rsidP="00565F04">
            <w:pPr>
              <w:jc w:val="center"/>
              <w:rPr>
                <w:color w:val="000000"/>
              </w:rPr>
            </w:pPr>
            <w:r>
              <w:rPr>
                <w:color w:val="000000"/>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1F779AE"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7E03D36F" w14:textId="77777777" w:rsidR="00565F04" w:rsidRDefault="00565F04" w:rsidP="00565F04">
            <w:r w:rsidRPr="00BF7411">
              <w:t>Full Target Achieved</w:t>
            </w:r>
          </w:p>
        </w:tc>
        <w:tc>
          <w:tcPr>
            <w:tcW w:w="1984" w:type="dxa"/>
            <w:tcBorders>
              <w:top w:val="single" w:sz="4" w:space="0" w:color="auto"/>
              <w:left w:val="single" w:sz="4" w:space="0" w:color="auto"/>
              <w:bottom w:val="single" w:sz="4" w:space="0" w:color="auto"/>
            </w:tcBorders>
          </w:tcPr>
          <w:p w14:paraId="73D3579C" w14:textId="77777777" w:rsidR="00565F04" w:rsidRPr="00622FF3" w:rsidRDefault="00565F04" w:rsidP="00565F04">
            <w:pPr>
              <w:pStyle w:val="NoSpacing"/>
            </w:pPr>
          </w:p>
        </w:tc>
      </w:tr>
      <w:tr w:rsidR="00565F04" w:rsidRPr="00B64A59" w14:paraId="228E699A"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3E739643" w14:textId="77777777" w:rsidR="00565F04" w:rsidRPr="00A01FC8" w:rsidRDefault="00565F04" w:rsidP="00565F04">
            <w:r w:rsidRPr="00A01FC8">
              <w:t>No. of Legal Assistance Requests Addressed</w:t>
            </w:r>
          </w:p>
        </w:tc>
        <w:tc>
          <w:tcPr>
            <w:tcW w:w="1543" w:type="dxa"/>
            <w:tcBorders>
              <w:top w:val="single" w:sz="4" w:space="0" w:color="auto"/>
              <w:left w:val="single" w:sz="4" w:space="0" w:color="auto"/>
              <w:bottom w:val="single" w:sz="4" w:space="0" w:color="auto"/>
              <w:right w:val="single" w:sz="4" w:space="0" w:color="auto"/>
            </w:tcBorders>
          </w:tcPr>
          <w:p w14:paraId="7358531E" w14:textId="77777777" w:rsidR="00565F04" w:rsidRDefault="00565F04" w:rsidP="00565F04">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798A61" w14:textId="77777777" w:rsidR="00565F04" w:rsidRDefault="00565F04" w:rsidP="00565F04">
            <w:pPr>
              <w:jc w:val="center"/>
              <w:rPr>
                <w:color w:val="000000"/>
              </w:rPr>
            </w:pPr>
            <w:r>
              <w:rPr>
                <w:color w:val="000000"/>
              </w:rPr>
              <w:t>675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7BE750B"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209CFD9E"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tcBorders>
          </w:tcPr>
          <w:p w14:paraId="41BA48FA" w14:textId="77777777" w:rsidR="00565F04" w:rsidRPr="00622FF3" w:rsidRDefault="00565F04" w:rsidP="00565F04">
            <w:pPr>
              <w:pStyle w:val="NoSpacing"/>
            </w:pPr>
          </w:p>
        </w:tc>
      </w:tr>
      <w:tr w:rsidR="00565F04" w:rsidRPr="00B64A59" w14:paraId="1D0D74BA"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4C75F70F" w14:textId="77777777" w:rsidR="00565F04" w:rsidRPr="00A01FC8" w:rsidRDefault="00565F04" w:rsidP="00565F04">
            <w:r w:rsidRPr="00A01FC8">
              <w:t>Total No.of Legal Assistance Requests</w:t>
            </w:r>
          </w:p>
        </w:tc>
        <w:tc>
          <w:tcPr>
            <w:tcW w:w="1543" w:type="dxa"/>
            <w:tcBorders>
              <w:top w:val="single" w:sz="4" w:space="0" w:color="auto"/>
              <w:left w:val="single" w:sz="4" w:space="0" w:color="auto"/>
              <w:bottom w:val="single" w:sz="4" w:space="0" w:color="auto"/>
              <w:right w:val="single" w:sz="4" w:space="0" w:color="auto"/>
            </w:tcBorders>
          </w:tcPr>
          <w:p w14:paraId="6493EA8A" w14:textId="77777777" w:rsidR="00565F04" w:rsidRDefault="00565F04" w:rsidP="00565F04">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99A626" w14:textId="77777777" w:rsidR="00565F04" w:rsidRDefault="00565F04" w:rsidP="00565F04">
            <w:pPr>
              <w:jc w:val="center"/>
              <w:rPr>
                <w:color w:val="000000"/>
              </w:rPr>
            </w:pPr>
            <w:r>
              <w:rPr>
                <w:color w:val="000000"/>
              </w:rPr>
              <w:t>675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687B681"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0F713D45"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tcBorders>
          </w:tcPr>
          <w:p w14:paraId="064841B5" w14:textId="77777777" w:rsidR="00565F04" w:rsidRPr="00622FF3" w:rsidRDefault="00565F04" w:rsidP="00565F04">
            <w:pPr>
              <w:pStyle w:val="NoSpacing"/>
            </w:pPr>
          </w:p>
        </w:tc>
      </w:tr>
      <w:tr w:rsidR="00565F04" w:rsidRPr="00B64A59" w14:paraId="78226864"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2843D159" w14:textId="77777777" w:rsidR="00565F04" w:rsidRPr="00A01FC8" w:rsidRDefault="00565F04" w:rsidP="00565F04">
            <w:r w:rsidRPr="00A01FC8">
              <w:lastRenderedPageBreak/>
              <w:t>7.6.1 Number of written legal opinions provided</w:t>
            </w:r>
          </w:p>
        </w:tc>
        <w:tc>
          <w:tcPr>
            <w:tcW w:w="1543" w:type="dxa"/>
            <w:tcBorders>
              <w:top w:val="single" w:sz="4" w:space="0" w:color="auto"/>
              <w:left w:val="single" w:sz="4" w:space="0" w:color="auto"/>
              <w:bottom w:val="single" w:sz="4" w:space="0" w:color="auto"/>
              <w:right w:val="single" w:sz="4" w:space="0" w:color="auto"/>
            </w:tcBorders>
          </w:tcPr>
          <w:p w14:paraId="4CC30BA3" w14:textId="77777777" w:rsidR="00565F04" w:rsidRDefault="00565F04" w:rsidP="00565F04">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A250EA" w14:textId="77777777" w:rsidR="00565F04" w:rsidRDefault="00565F04" w:rsidP="00565F04">
            <w:pPr>
              <w:jc w:val="center"/>
              <w:rPr>
                <w:color w:val="000000"/>
              </w:rPr>
            </w:pPr>
            <w:r>
              <w:rPr>
                <w:color w:val="000000"/>
              </w:rPr>
              <w:t>48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B072601"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5C49DE16"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tcBorders>
          </w:tcPr>
          <w:p w14:paraId="18D9D739" w14:textId="77777777" w:rsidR="00565F04" w:rsidRPr="00622FF3" w:rsidRDefault="00565F04" w:rsidP="00565F04">
            <w:pPr>
              <w:pStyle w:val="NoSpacing"/>
            </w:pPr>
          </w:p>
        </w:tc>
      </w:tr>
      <w:tr w:rsidR="00565F04" w:rsidRPr="00B64A59" w14:paraId="3A9B618F"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5B0BB77E" w14:textId="77777777" w:rsidR="00565F04" w:rsidRDefault="00565F04" w:rsidP="00565F04">
            <w:r w:rsidRPr="00A01FC8">
              <w:t>7.6.2 Number of TAs provided to clients</w:t>
            </w:r>
          </w:p>
        </w:tc>
        <w:tc>
          <w:tcPr>
            <w:tcW w:w="1543" w:type="dxa"/>
            <w:tcBorders>
              <w:top w:val="single" w:sz="4" w:space="0" w:color="auto"/>
              <w:left w:val="single" w:sz="4" w:space="0" w:color="auto"/>
              <w:bottom w:val="single" w:sz="4" w:space="0" w:color="auto"/>
              <w:right w:val="single" w:sz="4" w:space="0" w:color="auto"/>
            </w:tcBorders>
          </w:tcPr>
          <w:p w14:paraId="6B8B3DA7" w14:textId="77777777" w:rsidR="00565F04" w:rsidRDefault="00565F04" w:rsidP="00565F04">
            <w:pPr>
              <w:jc w:val="center"/>
            </w:pPr>
            <w: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C92A8D" w14:textId="77777777" w:rsidR="00565F04" w:rsidRDefault="00565F04" w:rsidP="00565F04">
            <w:pPr>
              <w:jc w:val="center"/>
              <w:rPr>
                <w:color w:val="000000"/>
              </w:rPr>
            </w:pPr>
            <w:r>
              <w:rPr>
                <w:color w:val="000000"/>
              </w:rPr>
              <w:t>627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B7238DD"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47FC67BA"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tcBorders>
          </w:tcPr>
          <w:p w14:paraId="3924248F" w14:textId="77777777" w:rsidR="00565F04" w:rsidRPr="00622FF3" w:rsidRDefault="00565F04" w:rsidP="00565F04">
            <w:pPr>
              <w:pStyle w:val="NoSpacing"/>
            </w:pPr>
          </w:p>
        </w:tc>
      </w:tr>
      <w:tr w:rsidR="008C4479" w:rsidRPr="00B64A59" w14:paraId="25779A0F" w14:textId="77777777" w:rsidTr="00023229">
        <w:trPr>
          <w:trHeight w:val="189"/>
        </w:trPr>
        <w:tc>
          <w:tcPr>
            <w:tcW w:w="10201" w:type="dxa"/>
            <w:gridSpan w:val="7"/>
            <w:tcBorders>
              <w:top w:val="single" w:sz="4" w:space="0" w:color="auto"/>
              <w:left w:val="single" w:sz="4" w:space="0" w:color="auto"/>
              <w:bottom w:val="single" w:sz="4" w:space="0" w:color="auto"/>
            </w:tcBorders>
            <w:shd w:val="clear" w:color="auto" w:fill="DEEAF6" w:themeFill="accent1" w:themeFillTint="33"/>
          </w:tcPr>
          <w:p w14:paraId="75FA7C18" w14:textId="77777777" w:rsidR="008C4479" w:rsidRPr="0005066B" w:rsidRDefault="008C4479" w:rsidP="008C4479">
            <w:pPr>
              <w:pStyle w:val="NoSpacing"/>
              <w:rPr>
                <w:b/>
              </w:rPr>
            </w:pPr>
            <w:r w:rsidRPr="0005066B">
              <w:rPr>
                <w:b/>
                <w:iCs/>
                <w:color w:val="000000"/>
              </w:rPr>
              <w:t>Administrative Services</w:t>
            </w:r>
          </w:p>
        </w:tc>
      </w:tr>
      <w:tr w:rsidR="00565F04" w:rsidRPr="00B64A59" w14:paraId="35CA53D2" w14:textId="77777777" w:rsidTr="00023229">
        <w:trPr>
          <w:trHeight w:val="189"/>
        </w:trPr>
        <w:tc>
          <w:tcPr>
            <w:tcW w:w="2280"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85DF64E" w14:textId="77777777" w:rsidR="00565F04" w:rsidRDefault="00565F04" w:rsidP="00565F04">
            <w:pPr>
              <w:rPr>
                <w:color w:val="000000"/>
              </w:rPr>
            </w:pPr>
            <w:r>
              <w:rPr>
                <w:color w:val="000000"/>
              </w:rPr>
              <w:t>7.7. Number of facilities repaired/</w:t>
            </w:r>
          </w:p>
          <w:p w14:paraId="47BF0BC4" w14:textId="77777777" w:rsidR="00565F04" w:rsidRDefault="00565F04" w:rsidP="00565F04">
            <w:pPr>
              <w:rPr>
                <w:color w:val="000000"/>
              </w:rPr>
            </w:pPr>
            <w:r>
              <w:rPr>
                <w:color w:val="000000"/>
              </w:rPr>
              <w:t>renovated</w:t>
            </w:r>
          </w:p>
        </w:tc>
        <w:tc>
          <w:tcPr>
            <w:tcW w:w="1543" w:type="dxa"/>
            <w:tcBorders>
              <w:top w:val="single" w:sz="4" w:space="0" w:color="auto"/>
              <w:left w:val="single" w:sz="4" w:space="0" w:color="auto"/>
              <w:bottom w:val="single" w:sz="4" w:space="0" w:color="auto"/>
              <w:right w:val="single" w:sz="4" w:space="0" w:color="auto"/>
            </w:tcBorders>
          </w:tcPr>
          <w:p w14:paraId="07333ABE" w14:textId="77777777" w:rsidR="00565F04" w:rsidRDefault="00565F04" w:rsidP="00565F04">
            <w:pPr>
              <w:jc w:val="center"/>
            </w:pPr>
            <w: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614B03" w14:textId="77777777" w:rsidR="00565F04" w:rsidRDefault="00565F04" w:rsidP="00565F04">
            <w:pPr>
              <w:jc w:val="center"/>
              <w:rPr>
                <w:color w:val="000000"/>
              </w:rPr>
            </w:pPr>
            <w:r>
              <w:rPr>
                <w:color w:val="000000"/>
              </w:rPr>
              <w:t>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6879093"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29C2331E"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tcBorders>
          </w:tcPr>
          <w:p w14:paraId="1A2FC5F7" w14:textId="77777777" w:rsidR="00565F04" w:rsidRPr="00622FF3" w:rsidRDefault="00565F04" w:rsidP="00565F04">
            <w:pPr>
              <w:pStyle w:val="NoSpacing"/>
            </w:pPr>
          </w:p>
        </w:tc>
      </w:tr>
      <w:tr w:rsidR="00565F04" w:rsidRPr="00B64A59" w14:paraId="39CE27D6"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2DFE76E2" w14:textId="77777777" w:rsidR="00565F04" w:rsidRDefault="00565F04" w:rsidP="00565F04">
            <w:pPr>
              <w:rPr>
                <w:color w:val="000000"/>
              </w:rPr>
            </w:pPr>
            <w:r>
              <w:rPr>
                <w:color w:val="000000"/>
              </w:rPr>
              <w:t>7.8. Percentage of real properties titled</w:t>
            </w:r>
          </w:p>
        </w:tc>
        <w:tc>
          <w:tcPr>
            <w:tcW w:w="1543" w:type="dxa"/>
            <w:tcBorders>
              <w:top w:val="single" w:sz="4" w:space="0" w:color="auto"/>
              <w:left w:val="single" w:sz="4" w:space="0" w:color="auto"/>
              <w:bottom w:val="single" w:sz="4" w:space="0" w:color="auto"/>
              <w:right w:val="single" w:sz="4" w:space="0" w:color="auto"/>
            </w:tcBorders>
          </w:tcPr>
          <w:p w14:paraId="16237C8B" w14:textId="77777777" w:rsidR="00565F04" w:rsidRDefault="00565F04" w:rsidP="00565F04">
            <w:pPr>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6D9C10" w14:textId="77777777" w:rsidR="00565F04" w:rsidRDefault="00565F04" w:rsidP="00565F04">
            <w:pPr>
              <w:jc w:val="center"/>
              <w:rPr>
                <w:color w:val="000000"/>
              </w:rPr>
            </w:pPr>
            <w:r>
              <w:rPr>
                <w:color w:val="000000"/>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A08FB2A"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15983C93"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right w:val="single" w:sz="4" w:space="0" w:color="auto"/>
            </w:tcBorders>
          </w:tcPr>
          <w:p w14:paraId="0C587D5E" w14:textId="77777777" w:rsidR="00565F04" w:rsidRPr="00622FF3" w:rsidRDefault="00565F04" w:rsidP="00565F04">
            <w:pPr>
              <w:pStyle w:val="NoSpacing"/>
            </w:pPr>
          </w:p>
        </w:tc>
      </w:tr>
      <w:tr w:rsidR="00565F04" w:rsidRPr="00B64A59" w14:paraId="5EEED97E" w14:textId="77777777" w:rsidTr="00023229">
        <w:trPr>
          <w:trHeight w:val="189"/>
        </w:trPr>
        <w:tc>
          <w:tcPr>
            <w:tcW w:w="228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4DB086C" w14:textId="77777777" w:rsidR="00565F04" w:rsidRDefault="00565F04" w:rsidP="00565F04">
            <w:pPr>
              <w:rPr>
                <w:i/>
                <w:iCs/>
                <w:color w:val="000000"/>
              </w:rPr>
            </w:pPr>
            <w:r>
              <w:rPr>
                <w:i/>
                <w:iCs/>
                <w:color w:val="000000"/>
              </w:rPr>
              <w:t>No. of Real Properties with Title</w:t>
            </w:r>
          </w:p>
        </w:tc>
        <w:tc>
          <w:tcPr>
            <w:tcW w:w="1543" w:type="dxa"/>
            <w:tcBorders>
              <w:top w:val="single" w:sz="4" w:space="0" w:color="auto"/>
              <w:left w:val="single" w:sz="4" w:space="0" w:color="auto"/>
              <w:bottom w:val="single" w:sz="4" w:space="0" w:color="auto"/>
              <w:right w:val="single" w:sz="4" w:space="0" w:color="auto"/>
            </w:tcBorders>
          </w:tcPr>
          <w:p w14:paraId="51DEDC3E" w14:textId="77777777" w:rsidR="00565F04" w:rsidRDefault="00565F04" w:rsidP="00565F04">
            <w:pPr>
              <w:jc w:val="center"/>
            </w:pPr>
            <w: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B41B86" w14:textId="77777777" w:rsidR="00565F04" w:rsidRDefault="00565F04" w:rsidP="00565F04">
            <w:pPr>
              <w:jc w:val="center"/>
              <w:rPr>
                <w:color w:val="000000"/>
              </w:rPr>
            </w:pPr>
            <w:r>
              <w:rPr>
                <w:color w:val="000000"/>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190DE30"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1DA8B0AE"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right w:val="single" w:sz="4" w:space="0" w:color="auto"/>
            </w:tcBorders>
          </w:tcPr>
          <w:p w14:paraId="6B8EC37F" w14:textId="77777777" w:rsidR="00565F04" w:rsidRPr="00622FF3" w:rsidRDefault="00565F04" w:rsidP="00565F04">
            <w:pPr>
              <w:pStyle w:val="NoSpacing"/>
            </w:pPr>
          </w:p>
        </w:tc>
      </w:tr>
      <w:tr w:rsidR="00565F04" w:rsidRPr="00B64A59" w14:paraId="149478A4"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0C1AA871" w14:textId="77777777" w:rsidR="00565F04" w:rsidRDefault="00565F04" w:rsidP="00565F04">
            <w:pPr>
              <w:rPr>
                <w:i/>
                <w:iCs/>
                <w:color w:val="000000"/>
              </w:rPr>
            </w:pPr>
            <w:r>
              <w:rPr>
                <w:i/>
                <w:iCs/>
                <w:color w:val="000000"/>
              </w:rPr>
              <w:t>Total No. of DSWD-owned Real Properties</w:t>
            </w:r>
          </w:p>
        </w:tc>
        <w:tc>
          <w:tcPr>
            <w:tcW w:w="1543" w:type="dxa"/>
            <w:tcBorders>
              <w:top w:val="single" w:sz="4" w:space="0" w:color="auto"/>
              <w:left w:val="single" w:sz="4" w:space="0" w:color="auto"/>
              <w:bottom w:val="single" w:sz="4" w:space="0" w:color="auto"/>
              <w:right w:val="single" w:sz="4" w:space="0" w:color="auto"/>
            </w:tcBorders>
          </w:tcPr>
          <w:p w14:paraId="75BCBF94" w14:textId="77777777" w:rsidR="00565F04" w:rsidRDefault="00565F04" w:rsidP="00565F04">
            <w:pPr>
              <w:jc w:val="center"/>
            </w:pPr>
            <w: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0E8A5F" w14:textId="77777777" w:rsidR="00565F04" w:rsidRDefault="00565F04" w:rsidP="00565F04">
            <w:pPr>
              <w:jc w:val="center"/>
              <w:rPr>
                <w:color w:val="000000"/>
              </w:rPr>
            </w:pPr>
            <w:r>
              <w:rPr>
                <w:color w:val="000000"/>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9DF5738"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0821F117"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tcBorders>
          </w:tcPr>
          <w:p w14:paraId="192AA8A5" w14:textId="77777777" w:rsidR="00565F04" w:rsidRPr="00622FF3" w:rsidRDefault="00565F04" w:rsidP="00565F04">
            <w:pPr>
              <w:pStyle w:val="NoSpacing"/>
            </w:pPr>
          </w:p>
        </w:tc>
      </w:tr>
      <w:tr w:rsidR="00565F04" w:rsidRPr="00B64A59" w14:paraId="4E7BDFE0"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1EE4F5FC" w14:textId="77777777" w:rsidR="00565F04" w:rsidRDefault="00565F04" w:rsidP="00565F04">
            <w:pPr>
              <w:rPr>
                <w:color w:val="000000"/>
              </w:rPr>
            </w:pPr>
            <w:r>
              <w:rPr>
                <w:color w:val="000000"/>
              </w:rPr>
              <w:t>7.9. Number of vehicles maintained and managed</w:t>
            </w:r>
          </w:p>
        </w:tc>
        <w:tc>
          <w:tcPr>
            <w:tcW w:w="1543" w:type="dxa"/>
            <w:tcBorders>
              <w:top w:val="single" w:sz="4" w:space="0" w:color="auto"/>
              <w:left w:val="single" w:sz="4" w:space="0" w:color="auto"/>
              <w:bottom w:val="single" w:sz="4" w:space="0" w:color="auto"/>
              <w:right w:val="single" w:sz="4" w:space="0" w:color="auto"/>
            </w:tcBorders>
          </w:tcPr>
          <w:p w14:paraId="50BD862F" w14:textId="77777777" w:rsidR="00565F04" w:rsidRDefault="00565F04" w:rsidP="00565F04">
            <w:pPr>
              <w:jc w:val="center"/>
            </w:pPr>
            <w:r>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D19769" w14:textId="77777777" w:rsidR="00565F04" w:rsidRDefault="00565F04" w:rsidP="00565F04">
            <w:pPr>
              <w:jc w:val="center"/>
              <w:rPr>
                <w:color w:val="000000"/>
              </w:rPr>
            </w:pPr>
            <w:r>
              <w:rPr>
                <w:color w:val="000000"/>
              </w:rPr>
              <w:t>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0AA64EC"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13EE7A0B"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tcBorders>
          </w:tcPr>
          <w:p w14:paraId="3ECCB656" w14:textId="77777777" w:rsidR="00565F04" w:rsidRPr="00622FF3" w:rsidRDefault="00565F04" w:rsidP="00565F04">
            <w:pPr>
              <w:pStyle w:val="NoSpacing"/>
            </w:pPr>
          </w:p>
        </w:tc>
      </w:tr>
      <w:tr w:rsidR="00565F04" w:rsidRPr="00B64A59" w14:paraId="2A2E4387"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01487E07" w14:textId="77777777" w:rsidR="00565F04" w:rsidRDefault="00565F04" w:rsidP="00565F04">
            <w:pPr>
              <w:rPr>
                <w:color w:val="000000"/>
              </w:rPr>
            </w:pPr>
            <w:r>
              <w:rPr>
                <w:color w:val="000000"/>
              </w:rPr>
              <w:t>7.10. Percentage of records digitized/disposed</w:t>
            </w:r>
          </w:p>
        </w:tc>
        <w:tc>
          <w:tcPr>
            <w:tcW w:w="1543" w:type="dxa"/>
            <w:tcBorders>
              <w:top w:val="single" w:sz="4" w:space="0" w:color="auto"/>
              <w:left w:val="single" w:sz="4" w:space="0" w:color="auto"/>
              <w:bottom w:val="single" w:sz="4" w:space="0" w:color="auto"/>
              <w:right w:val="single" w:sz="4" w:space="0" w:color="auto"/>
            </w:tcBorders>
          </w:tcPr>
          <w:p w14:paraId="55178A5D" w14:textId="77777777" w:rsidR="00565F04" w:rsidRDefault="00565F04" w:rsidP="00565F04">
            <w:pPr>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23F7FE" w14:textId="77777777" w:rsidR="00565F04" w:rsidRDefault="00565F04" w:rsidP="00565F04">
            <w:pPr>
              <w:jc w:val="center"/>
              <w:rPr>
                <w:color w:val="000000"/>
              </w:rPr>
            </w:pPr>
            <w:r>
              <w:rPr>
                <w:color w:val="000000"/>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5ED80ED"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5377B9AC"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tcBorders>
          </w:tcPr>
          <w:p w14:paraId="331AE775" w14:textId="77777777" w:rsidR="00565F04" w:rsidRPr="00622FF3" w:rsidRDefault="00565F04" w:rsidP="00565F04">
            <w:pPr>
              <w:pStyle w:val="NoSpacing"/>
            </w:pPr>
          </w:p>
        </w:tc>
      </w:tr>
      <w:tr w:rsidR="00565F04" w:rsidRPr="00B64A59" w14:paraId="749530B2"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auto"/>
          </w:tcPr>
          <w:p w14:paraId="4BE16B95" w14:textId="77777777" w:rsidR="00565F04" w:rsidRPr="001527C4" w:rsidRDefault="00565F04" w:rsidP="00565F04">
            <w:pPr>
              <w:rPr>
                <w:iCs/>
                <w:color w:val="000000"/>
              </w:rPr>
            </w:pPr>
            <w:r>
              <w:rPr>
                <w:iCs/>
                <w:color w:val="000000"/>
              </w:rPr>
              <w:t xml:space="preserve">7.11. </w:t>
            </w:r>
            <w:r w:rsidRPr="001527C4">
              <w:rPr>
                <w:iCs/>
                <w:color w:val="000000"/>
              </w:rPr>
              <w:t>Percentage of records digitized</w:t>
            </w:r>
          </w:p>
        </w:tc>
        <w:tc>
          <w:tcPr>
            <w:tcW w:w="1543" w:type="dxa"/>
            <w:tcBorders>
              <w:top w:val="single" w:sz="4" w:space="0" w:color="auto"/>
              <w:left w:val="single" w:sz="4" w:space="0" w:color="auto"/>
              <w:bottom w:val="single" w:sz="4" w:space="0" w:color="auto"/>
              <w:right w:val="single" w:sz="4" w:space="0" w:color="auto"/>
            </w:tcBorders>
          </w:tcPr>
          <w:p w14:paraId="21E90F4B" w14:textId="77777777" w:rsidR="00565F04" w:rsidRDefault="00565F04" w:rsidP="00565F04">
            <w:pPr>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FC73C3" w14:textId="77777777" w:rsidR="00565F04" w:rsidRDefault="00565F04" w:rsidP="00565F04">
            <w:pPr>
              <w:jc w:val="center"/>
              <w:rPr>
                <w:color w:val="000000"/>
              </w:rPr>
            </w:pPr>
            <w:r>
              <w:rPr>
                <w:color w:val="000000"/>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3F1A634"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4881F2BB"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tcBorders>
          </w:tcPr>
          <w:p w14:paraId="3C49C19B" w14:textId="77777777" w:rsidR="00565F04" w:rsidRPr="00622FF3" w:rsidRDefault="00565F04" w:rsidP="00565F04">
            <w:pPr>
              <w:pStyle w:val="NoSpacing"/>
            </w:pPr>
          </w:p>
        </w:tc>
      </w:tr>
      <w:tr w:rsidR="00565F04" w:rsidRPr="00B64A59" w14:paraId="5AF9E1FC"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1A7A1141" w14:textId="77777777" w:rsidR="00565F04" w:rsidRDefault="00565F04" w:rsidP="00565F04">
            <w:pPr>
              <w:rPr>
                <w:color w:val="000000"/>
              </w:rPr>
            </w:pPr>
            <w:r>
              <w:rPr>
                <w:color w:val="000000"/>
              </w:rPr>
              <w:t>Number of records digitized</w:t>
            </w:r>
          </w:p>
        </w:tc>
        <w:tc>
          <w:tcPr>
            <w:tcW w:w="1543" w:type="dxa"/>
            <w:tcBorders>
              <w:top w:val="single" w:sz="4" w:space="0" w:color="auto"/>
              <w:left w:val="single" w:sz="4" w:space="0" w:color="auto"/>
              <w:bottom w:val="single" w:sz="4" w:space="0" w:color="auto"/>
              <w:right w:val="single" w:sz="4" w:space="0" w:color="auto"/>
            </w:tcBorders>
          </w:tcPr>
          <w:p w14:paraId="57F4B65D" w14:textId="77777777" w:rsidR="00565F04" w:rsidRDefault="00565F04" w:rsidP="00565F04">
            <w:pPr>
              <w:jc w:val="center"/>
            </w:pPr>
            <w:r>
              <w:t>1,281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050020" w14:textId="77777777" w:rsidR="00565F04" w:rsidRDefault="00565F04" w:rsidP="00565F04">
            <w:pPr>
              <w:jc w:val="center"/>
              <w:rPr>
                <w:color w:val="000000"/>
              </w:rPr>
            </w:pPr>
            <w:r>
              <w:rPr>
                <w:color w:val="000000"/>
              </w:rPr>
              <w:t>1,281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4E2AC81"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3700CBBF"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tcBorders>
          </w:tcPr>
          <w:p w14:paraId="34953408" w14:textId="77777777" w:rsidR="00565F04" w:rsidRPr="00622FF3" w:rsidRDefault="00565F04" w:rsidP="00565F04">
            <w:pPr>
              <w:pStyle w:val="NoSpacing"/>
            </w:pPr>
          </w:p>
        </w:tc>
      </w:tr>
      <w:tr w:rsidR="00565F04" w:rsidRPr="00B64A59" w14:paraId="252BCC39"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3F5F5A89" w14:textId="77777777" w:rsidR="00565F04" w:rsidRDefault="00565F04" w:rsidP="00565F04">
            <w:pPr>
              <w:rPr>
                <w:color w:val="000000"/>
              </w:rPr>
            </w:pPr>
            <w:r>
              <w:rPr>
                <w:color w:val="000000"/>
              </w:rPr>
              <w:t>Number of records identified for digitization</w:t>
            </w:r>
          </w:p>
        </w:tc>
        <w:tc>
          <w:tcPr>
            <w:tcW w:w="1543" w:type="dxa"/>
            <w:tcBorders>
              <w:top w:val="single" w:sz="4" w:space="0" w:color="auto"/>
              <w:left w:val="single" w:sz="4" w:space="0" w:color="auto"/>
              <w:bottom w:val="single" w:sz="4" w:space="0" w:color="auto"/>
              <w:right w:val="single" w:sz="4" w:space="0" w:color="auto"/>
            </w:tcBorders>
          </w:tcPr>
          <w:p w14:paraId="48211961" w14:textId="77777777" w:rsidR="00565F04" w:rsidRDefault="00565F04" w:rsidP="00565F04">
            <w:pPr>
              <w:jc w:val="center"/>
            </w:pPr>
            <w:r>
              <w:t>1,281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D76F63" w14:textId="77777777" w:rsidR="00565F04" w:rsidRDefault="00565F04" w:rsidP="00565F04">
            <w:pPr>
              <w:jc w:val="center"/>
              <w:rPr>
                <w:color w:val="000000"/>
              </w:rPr>
            </w:pPr>
            <w:r>
              <w:rPr>
                <w:color w:val="000000"/>
              </w:rPr>
              <w:t>1,281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BD8F7F1"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0DAC9D43"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tcBorders>
          </w:tcPr>
          <w:p w14:paraId="3219DC79" w14:textId="77777777" w:rsidR="00565F04" w:rsidRPr="00622FF3" w:rsidRDefault="00565F04" w:rsidP="00565F04">
            <w:pPr>
              <w:pStyle w:val="NoSpacing"/>
            </w:pPr>
          </w:p>
        </w:tc>
      </w:tr>
      <w:tr w:rsidR="00565F04" w:rsidRPr="00B64A59" w14:paraId="1E899171"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auto"/>
          </w:tcPr>
          <w:p w14:paraId="1C467E60" w14:textId="77777777" w:rsidR="00565F04" w:rsidRPr="00381798" w:rsidRDefault="00565F04" w:rsidP="00565F04">
            <w:pPr>
              <w:rPr>
                <w:iCs/>
                <w:color w:val="000000"/>
              </w:rPr>
            </w:pPr>
            <w:r>
              <w:rPr>
                <w:iCs/>
                <w:color w:val="000000"/>
              </w:rPr>
              <w:t xml:space="preserve">7.12. </w:t>
            </w:r>
            <w:r w:rsidRPr="00381798">
              <w:rPr>
                <w:iCs/>
                <w:color w:val="000000"/>
              </w:rPr>
              <w:t>Percentage of records disposed</w:t>
            </w:r>
          </w:p>
        </w:tc>
        <w:tc>
          <w:tcPr>
            <w:tcW w:w="1543" w:type="dxa"/>
            <w:tcBorders>
              <w:top w:val="single" w:sz="4" w:space="0" w:color="auto"/>
              <w:left w:val="single" w:sz="4" w:space="0" w:color="auto"/>
              <w:bottom w:val="single" w:sz="4" w:space="0" w:color="auto"/>
              <w:right w:val="single" w:sz="4" w:space="0" w:color="auto"/>
            </w:tcBorders>
          </w:tcPr>
          <w:p w14:paraId="576AF048" w14:textId="77777777" w:rsidR="00565F04" w:rsidRDefault="00565F04" w:rsidP="00565F04">
            <w:pPr>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90D7F8" w14:textId="77777777" w:rsidR="00565F04" w:rsidRDefault="00565F04" w:rsidP="00565F04">
            <w:pPr>
              <w:jc w:val="center"/>
              <w:rPr>
                <w:color w:val="000000"/>
              </w:rPr>
            </w:pPr>
            <w:r>
              <w:rPr>
                <w:color w:val="000000"/>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BBA0875"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4AE32F4B"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tcBorders>
          </w:tcPr>
          <w:p w14:paraId="089A3255" w14:textId="77777777" w:rsidR="00565F04" w:rsidRPr="00622FF3" w:rsidRDefault="00565F04" w:rsidP="00565F04">
            <w:pPr>
              <w:pStyle w:val="NoSpacing"/>
            </w:pPr>
          </w:p>
        </w:tc>
      </w:tr>
      <w:tr w:rsidR="00565F04" w:rsidRPr="00B64A59" w14:paraId="2E128A06"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auto"/>
          </w:tcPr>
          <w:p w14:paraId="1E9D561F" w14:textId="77777777" w:rsidR="00565F04" w:rsidRDefault="00565F04" w:rsidP="00565F04">
            <w:pPr>
              <w:rPr>
                <w:color w:val="000000"/>
              </w:rPr>
            </w:pPr>
            <w:r>
              <w:rPr>
                <w:color w:val="000000"/>
              </w:rPr>
              <w:t>Number of records disposed</w:t>
            </w:r>
          </w:p>
        </w:tc>
        <w:tc>
          <w:tcPr>
            <w:tcW w:w="1543" w:type="dxa"/>
            <w:tcBorders>
              <w:top w:val="single" w:sz="4" w:space="0" w:color="auto"/>
              <w:left w:val="single" w:sz="4" w:space="0" w:color="auto"/>
              <w:bottom w:val="single" w:sz="4" w:space="0" w:color="auto"/>
              <w:right w:val="single" w:sz="4" w:space="0" w:color="auto"/>
            </w:tcBorders>
          </w:tcPr>
          <w:p w14:paraId="14FDB456" w14:textId="77777777" w:rsidR="00565F04" w:rsidRDefault="00565F04" w:rsidP="00565F04">
            <w:pPr>
              <w:jc w:val="center"/>
            </w:pPr>
            <w:r>
              <w:t>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FC0F3F" w14:textId="77777777" w:rsidR="00565F04" w:rsidRDefault="00565F04" w:rsidP="00565F04">
            <w:pPr>
              <w:jc w:val="center"/>
              <w:rPr>
                <w:color w:val="000000"/>
              </w:rPr>
            </w:pPr>
            <w:r>
              <w:rPr>
                <w:color w:val="000000"/>
              </w:rPr>
              <w:t>41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7E1D314"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0D6B9563"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tcBorders>
          </w:tcPr>
          <w:p w14:paraId="734EB8C0" w14:textId="77777777" w:rsidR="00565F04" w:rsidRPr="00622FF3" w:rsidRDefault="00565F04" w:rsidP="00565F04">
            <w:pPr>
              <w:pStyle w:val="NoSpacing"/>
            </w:pPr>
          </w:p>
        </w:tc>
      </w:tr>
      <w:tr w:rsidR="00565F04" w:rsidRPr="00B64A59" w14:paraId="6B0360E6"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1845CDCA" w14:textId="77777777" w:rsidR="00565F04" w:rsidRDefault="00565F04" w:rsidP="00565F04">
            <w:pPr>
              <w:rPr>
                <w:color w:val="000000"/>
              </w:rPr>
            </w:pPr>
            <w:r>
              <w:rPr>
                <w:color w:val="000000"/>
              </w:rPr>
              <w:t>Number of records identified for disposal</w:t>
            </w:r>
          </w:p>
        </w:tc>
        <w:tc>
          <w:tcPr>
            <w:tcW w:w="1543" w:type="dxa"/>
            <w:tcBorders>
              <w:top w:val="single" w:sz="4" w:space="0" w:color="auto"/>
              <w:left w:val="single" w:sz="4" w:space="0" w:color="auto"/>
              <w:bottom w:val="single" w:sz="4" w:space="0" w:color="auto"/>
              <w:right w:val="single" w:sz="4" w:space="0" w:color="auto"/>
            </w:tcBorders>
          </w:tcPr>
          <w:p w14:paraId="48F48E68" w14:textId="77777777" w:rsidR="00565F04" w:rsidRDefault="00565F04" w:rsidP="00565F04">
            <w:pPr>
              <w:jc w:val="center"/>
            </w:pPr>
            <w:r>
              <w:t>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080552" w14:textId="77777777" w:rsidR="00565F04" w:rsidRDefault="00565F04" w:rsidP="00565F04">
            <w:pPr>
              <w:jc w:val="center"/>
              <w:rPr>
                <w:color w:val="000000"/>
              </w:rPr>
            </w:pPr>
            <w:r>
              <w:rPr>
                <w:color w:val="000000"/>
              </w:rPr>
              <w:t>41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3C0F6F3" w14:textId="77777777" w:rsidR="00565F04" w:rsidRDefault="00565F04" w:rsidP="00565F04">
            <w:r>
              <w:t>0</w:t>
            </w:r>
          </w:p>
        </w:tc>
        <w:tc>
          <w:tcPr>
            <w:tcW w:w="1276" w:type="dxa"/>
            <w:tcBorders>
              <w:top w:val="single" w:sz="4" w:space="0" w:color="auto"/>
              <w:left w:val="single" w:sz="4" w:space="0" w:color="auto"/>
              <w:bottom w:val="single" w:sz="4" w:space="0" w:color="auto"/>
              <w:right w:val="single" w:sz="4" w:space="0" w:color="auto"/>
            </w:tcBorders>
          </w:tcPr>
          <w:p w14:paraId="4CCEB227" w14:textId="77777777" w:rsidR="00565F04" w:rsidRDefault="00565F04" w:rsidP="00565F04">
            <w:r w:rsidRPr="00D40D20">
              <w:t>Full Target Achieved</w:t>
            </w:r>
          </w:p>
        </w:tc>
        <w:tc>
          <w:tcPr>
            <w:tcW w:w="1984" w:type="dxa"/>
            <w:tcBorders>
              <w:top w:val="single" w:sz="4" w:space="0" w:color="auto"/>
              <w:left w:val="single" w:sz="4" w:space="0" w:color="auto"/>
              <w:bottom w:val="single" w:sz="4" w:space="0" w:color="auto"/>
            </w:tcBorders>
          </w:tcPr>
          <w:p w14:paraId="30954EF9" w14:textId="77777777" w:rsidR="00565F04" w:rsidRPr="00622FF3" w:rsidRDefault="00565F04" w:rsidP="00565F04">
            <w:pPr>
              <w:pStyle w:val="NoSpacing"/>
            </w:pPr>
          </w:p>
        </w:tc>
      </w:tr>
      <w:tr w:rsidR="008C4479" w:rsidRPr="00B64A59" w14:paraId="28C1146F" w14:textId="77777777" w:rsidTr="00023229">
        <w:trPr>
          <w:trHeight w:val="189"/>
        </w:trPr>
        <w:tc>
          <w:tcPr>
            <w:tcW w:w="10201" w:type="dxa"/>
            <w:gridSpan w:val="7"/>
            <w:tcBorders>
              <w:top w:val="single" w:sz="4" w:space="0" w:color="auto"/>
              <w:left w:val="single" w:sz="4" w:space="0" w:color="auto"/>
              <w:bottom w:val="single" w:sz="4" w:space="0" w:color="auto"/>
            </w:tcBorders>
            <w:shd w:val="clear" w:color="auto" w:fill="DEEAF6" w:themeFill="accent1" w:themeFillTint="33"/>
          </w:tcPr>
          <w:p w14:paraId="7BA94B77" w14:textId="77777777" w:rsidR="008C4479" w:rsidRPr="00381798" w:rsidRDefault="008C4479" w:rsidP="008C4479">
            <w:pPr>
              <w:pStyle w:val="NoSpacing"/>
              <w:rPr>
                <w:b/>
              </w:rPr>
            </w:pPr>
            <w:r w:rsidRPr="00381798">
              <w:rPr>
                <w:b/>
                <w:iCs/>
                <w:color w:val="000000"/>
              </w:rPr>
              <w:t>Financial Management</w:t>
            </w:r>
          </w:p>
        </w:tc>
      </w:tr>
      <w:tr w:rsidR="008C4479" w:rsidRPr="00B64A59" w14:paraId="40A9DBD1"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39B813" w14:textId="77777777" w:rsidR="008C4479" w:rsidRDefault="008C4479" w:rsidP="008C4479">
            <w:pPr>
              <w:rPr>
                <w:color w:val="000000"/>
              </w:rPr>
            </w:pPr>
            <w:r>
              <w:rPr>
                <w:color w:val="000000"/>
              </w:rPr>
              <w:t>7.13. Percentage of budget utilized</w:t>
            </w:r>
          </w:p>
        </w:tc>
        <w:tc>
          <w:tcPr>
            <w:tcW w:w="1543" w:type="dxa"/>
            <w:tcBorders>
              <w:top w:val="single" w:sz="4" w:space="0" w:color="auto"/>
              <w:left w:val="single" w:sz="4" w:space="0" w:color="auto"/>
              <w:bottom w:val="single" w:sz="4" w:space="0" w:color="auto"/>
              <w:right w:val="single" w:sz="4" w:space="0" w:color="auto"/>
            </w:tcBorders>
          </w:tcPr>
          <w:p w14:paraId="4B576AE5" w14:textId="77777777" w:rsidR="008C4479" w:rsidRDefault="008C4479" w:rsidP="008C4479">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73ACC3A8" w14:textId="77777777" w:rsidR="008C4479" w:rsidRDefault="008C4479" w:rsidP="008C447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DAF686" w14:textId="77777777" w:rsidR="008C4479" w:rsidRDefault="008C4479" w:rsidP="008C4479"/>
        </w:tc>
        <w:tc>
          <w:tcPr>
            <w:tcW w:w="1276" w:type="dxa"/>
            <w:tcBorders>
              <w:top w:val="single" w:sz="4" w:space="0" w:color="auto"/>
              <w:left w:val="single" w:sz="4" w:space="0" w:color="auto"/>
              <w:bottom w:val="single" w:sz="4" w:space="0" w:color="auto"/>
              <w:right w:val="single" w:sz="4" w:space="0" w:color="auto"/>
            </w:tcBorders>
          </w:tcPr>
          <w:p w14:paraId="7C303B22" w14:textId="77777777" w:rsidR="008C4479" w:rsidRPr="00EB000F" w:rsidRDefault="008C4479" w:rsidP="008C4479"/>
        </w:tc>
        <w:tc>
          <w:tcPr>
            <w:tcW w:w="1984" w:type="dxa"/>
            <w:tcBorders>
              <w:top w:val="single" w:sz="4" w:space="0" w:color="auto"/>
              <w:left w:val="single" w:sz="4" w:space="0" w:color="auto"/>
              <w:bottom w:val="single" w:sz="4" w:space="0" w:color="auto"/>
            </w:tcBorders>
          </w:tcPr>
          <w:p w14:paraId="615979FD" w14:textId="77777777" w:rsidR="008C4479" w:rsidRPr="00622FF3" w:rsidRDefault="008C4479" w:rsidP="008C4479">
            <w:pPr>
              <w:pStyle w:val="NoSpacing"/>
            </w:pPr>
          </w:p>
        </w:tc>
      </w:tr>
      <w:tr w:rsidR="0027076E" w:rsidRPr="00B64A59" w14:paraId="4ECE1F0F"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4F62B2E6" w14:textId="77777777" w:rsidR="0027076E" w:rsidRPr="00381798" w:rsidRDefault="0027076E" w:rsidP="0027076E">
            <w:pPr>
              <w:rPr>
                <w:iCs/>
                <w:color w:val="000000"/>
              </w:rPr>
            </w:pPr>
            <w:r w:rsidRPr="00381798">
              <w:rPr>
                <w:iCs/>
                <w:color w:val="000000"/>
              </w:rPr>
              <w:t>a. Actual Obligations Over Actual Allotment Incurred</w:t>
            </w:r>
          </w:p>
        </w:tc>
        <w:tc>
          <w:tcPr>
            <w:tcW w:w="1543" w:type="dxa"/>
            <w:tcBorders>
              <w:top w:val="single" w:sz="4" w:space="0" w:color="auto"/>
              <w:left w:val="single" w:sz="4" w:space="0" w:color="auto"/>
              <w:bottom w:val="single" w:sz="4" w:space="0" w:color="auto"/>
              <w:right w:val="single" w:sz="4" w:space="0" w:color="auto"/>
            </w:tcBorders>
          </w:tcPr>
          <w:p w14:paraId="1875F075" w14:textId="77777777" w:rsidR="0027076E" w:rsidRDefault="0027076E" w:rsidP="0027076E">
            <w:pPr>
              <w:jc w:val="center"/>
            </w:pPr>
            <w:r>
              <w:t>100%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7F96763E" w14:textId="77777777" w:rsidR="0027076E" w:rsidRDefault="0027076E" w:rsidP="0027076E">
            <w:pPr>
              <w:jc w:val="center"/>
              <w:rPr>
                <w:color w:val="000000"/>
              </w:rPr>
            </w:pPr>
            <w:r>
              <w:rPr>
                <w:color w:val="000000"/>
              </w:rPr>
              <w:t>50.30%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31C23" w14:textId="77777777" w:rsidR="0027076E" w:rsidRDefault="0027076E" w:rsidP="0027076E">
            <w:r>
              <w:t>-49.70%</w:t>
            </w:r>
          </w:p>
        </w:tc>
        <w:tc>
          <w:tcPr>
            <w:tcW w:w="1276" w:type="dxa"/>
            <w:tcBorders>
              <w:top w:val="single" w:sz="4" w:space="0" w:color="auto"/>
              <w:left w:val="single" w:sz="4" w:space="0" w:color="auto"/>
              <w:bottom w:val="single" w:sz="4" w:space="0" w:color="auto"/>
              <w:right w:val="single" w:sz="4" w:space="0" w:color="auto"/>
            </w:tcBorders>
          </w:tcPr>
          <w:p w14:paraId="0B9B4F0C" w14:textId="77777777" w:rsidR="0027076E" w:rsidRPr="00EB000F" w:rsidRDefault="0027076E" w:rsidP="0027076E">
            <w:r>
              <w:t>Major Deviation</w:t>
            </w:r>
          </w:p>
        </w:tc>
        <w:tc>
          <w:tcPr>
            <w:tcW w:w="1984" w:type="dxa"/>
            <w:tcBorders>
              <w:top w:val="single" w:sz="4" w:space="0" w:color="auto"/>
              <w:left w:val="single" w:sz="4" w:space="0" w:color="auto"/>
              <w:bottom w:val="single" w:sz="4" w:space="0" w:color="auto"/>
            </w:tcBorders>
          </w:tcPr>
          <w:p w14:paraId="60343B27" w14:textId="77777777" w:rsidR="0027076E" w:rsidRPr="00622FF3" w:rsidRDefault="0027076E" w:rsidP="0027076E">
            <w:pPr>
              <w:pStyle w:val="NoSpacing"/>
            </w:pPr>
          </w:p>
        </w:tc>
      </w:tr>
      <w:tr w:rsidR="0027076E" w:rsidRPr="00B64A59" w14:paraId="2070F092"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548A5EC3" w14:textId="77777777" w:rsidR="0027076E" w:rsidRDefault="0027076E" w:rsidP="0027076E">
            <w:pPr>
              <w:rPr>
                <w:color w:val="000000"/>
              </w:rPr>
            </w:pPr>
            <w:r>
              <w:rPr>
                <w:color w:val="000000"/>
              </w:rPr>
              <w:t>Total Actual Obligation Incurred</w:t>
            </w:r>
          </w:p>
        </w:tc>
        <w:tc>
          <w:tcPr>
            <w:tcW w:w="1543" w:type="dxa"/>
            <w:tcBorders>
              <w:top w:val="single" w:sz="4" w:space="0" w:color="auto"/>
              <w:left w:val="single" w:sz="4" w:space="0" w:color="auto"/>
              <w:bottom w:val="single" w:sz="4" w:space="0" w:color="auto"/>
              <w:right w:val="single" w:sz="4" w:space="0" w:color="auto"/>
            </w:tcBorders>
          </w:tcPr>
          <w:p w14:paraId="5B623049" w14:textId="77777777" w:rsidR="0027076E" w:rsidRDefault="0027076E" w:rsidP="0027076E">
            <w:pPr>
              <w:jc w:val="center"/>
            </w:pPr>
          </w:p>
        </w:tc>
        <w:tc>
          <w:tcPr>
            <w:tcW w:w="1842" w:type="dxa"/>
            <w:gridSpan w:val="2"/>
            <w:tcBorders>
              <w:top w:val="nil"/>
              <w:left w:val="single" w:sz="4" w:space="0" w:color="000000"/>
              <w:bottom w:val="single" w:sz="4" w:space="0" w:color="000000"/>
              <w:right w:val="single" w:sz="4" w:space="0" w:color="000000"/>
            </w:tcBorders>
            <w:shd w:val="clear" w:color="auto" w:fill="auto"/>
          </w:tcPr>
          <w:p w14:paraId="60E34B5E" w14:textId="77777777" w:rsidR="0027076E" w:rsidRDefault="0027076E" w:rsidP="0027076E">
            <w:pPr>
              <w:spacing w:line="240" w:lineRule="auto"/>
              <w:jc w:val="center"/>
              <w:rPr>
                <w:rFonts w:eastAsia="Times New Roman"/>
                <w:lang w:val="en-PH" w:eastAsia="en-PH"/>
              </w:rPr>
            </w:pPr>
            <w:r>
              <w:t>2,029,962,443.29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CF2FBE" w14:textId="77777777" w:rsidR="0027076E" w:rsidRDefault="0027076E" w:rsidP="0027076E"/>
        </w:tc>
        <w:tc>
          <w:tcPr>
            <w:tcW w:w="1276" w:type="dxa"/>
            <w:tcBorders>
              <w:top w:val="single" w:sz="4" w:space="0" w:color="auto"/>
              <w:left w:val="single" w:sz="4" w:space="0" w:color="auto"/>
              <w:bottom w:val="single" w:sz="4" w:space="0" w:color="auto"/>
              <w:right w:val="single" w:sz="4" w:space="0" w:color="auto"/>
            </w:tcBorders>
          </w:tcPr>
          <w:p w14:paraId="4967304A" w14:textId="77777777" w:rsidR="0027076E" w:rsidRPr="00EB000F" w:rsidRDefault="0027076E" w:rsidP="0027076E"/>
        </w:tc>
        <w:tc>
          <w:tcPr>
            <w:tcW w:w="1984" w:type="dxa"/>
            <w:tcBorders>
              <w:top w:val="single" w:sz="4" w:space="0" w:color="auto"/>
              <w:left w:val="single" w:sz="4" w:space="0" w:color="auto"/>
              <w:bottom w:val="single" w:sz="4" w:space="0" w:color="auto"/>
            </w:tcBorders>
          </w:tcPr>
          <w:p w14:paraId="16B45D6E" w14:textId="77777777" w:rsidR="0027076E" w:rsidRPr="00622FF3" w:rsidRDefault="0027076E" w:rsidP="0027076E">
            <w:pPr>
              <w:pStyle w:val="NoSpacing"/>
            </w:pPr>
          </w:p>
        </w:tc>
      </w:tr>
      <w:tr w:rsidR="0027076E" w:rsidRPr="00B64A59" w14:paraId="3E7131AB"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27C9DFF1" w14:textId="77777777" w:rsidR="0027076E" w:rsidRDefault="0027076E" w:rsidP="0027076E">
            <w:pPr>
              <w:rPr>
                <w:color w:val="000000"/>
              </w:rPr>
            </w:pPr>
            <w:r>
              <w:rPr>
                <w:color w:val="000000"/>
              </w:rPr>
              <w:t>Total Actual Annual Allotment Received</w:t>
            </w:r>
          </w:p>
        </w:tc>
        <w:tc>
          <w:tcPr>
            <w:tcW w:w="1543" w:type="dxa"/>
            <w:tcBorders>
              <w:top w:val="single" w:sz="4" w:space="0" w:color="auto"/>
              <w:left w:val="single" w:sz="4" w:space="0" w:color="auto"/>
              <w:bottom w:val="single" w:sz="4" w:space="0" w:color="auto"/>
              <w:right w:val="single" w:sz="4" w:space="0" w:color="auto"/>
            </w:tcBorders>
          </w:tcPr>
          <w:p w14:paraId="06A0DE4C" w14:textId="77777777" w:rsidR="0027076E" w:rsidRDefault="0027076E" w:rsidP="0027076E"/>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647CB07F" w14:textId="77777777" w:rsidR="0027076E" w:rsidRDefault="0027076E" w:rsidP="0027076E">
            <w:pPr>
              <w:jc w:val="center"/>
            </w:pPr>
            <w:r>
              <w:t>4,035,692,029.35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8BDC65" w14:textId="77777777" w:rsidR="0027076E" w:rsidRDefault="0027076E" w:rsidP="0027076E"/>
        </w:tc>
        <w:tc>
          <w:tcPr>
            <w:tcW w:w="1276" w:type="dxa"/>
            <w:tcBorders>
              <w:top w:val="single" w:sz="4" w:space="0" w:color="auto"/>
              <w:left w:val="single" w:sz="4" w:space="0" w:color="auto"/>
              <w:bottom w:val="single" w:sz="4" w:space="0" w:color="auto"/>
              <w:right w:val="single" w:sz="4" w:space="0" w:color="auto"/>
            </w:tcBorders>
          </w:tcPr>
          <w:p w14:paraId="7692C383" w14:textId="77777777" w:rsidR="0027076E" w:rsidRPr="00EB000F" w:rsidRDefault="0027076E" w:rsidP="0027076E"/>
        </w:tc>
        <w:tc>
          <w:tcPr>
            <w:tcW w:w="1984" w:type="dxa"/>
            <w:tcBorders>
              <w:top w:val="single" w:sz="4" w:space="0" w:color="auto"/>
              <w:left w:val="single" w:sz="4" w:space="0" w:color="auto"/>
              <w:bottom w:val="single" w:sz="4" w:space="0" w:color="auto"/>
            </w:tcBorders>
          </w:tcPr>
          <w:p w14:paraId="77637AF6" w14:textId="77777777" w:rsidR="0027076E" w:rsidRPr="00622FF3" w:rsidRDefault="0027076E" w:rsidP="0027076E">
            <w:pPr>
              <w:pStyle w:val="NoSpacing"/>
            </w:pPr>
          </w:p>
        </w:tc>
      </w:tr>
      <w:tr w:rsidR="0027076E" w:rsidRPr="00B64A59" w14:paraId="42B2CC62"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178B422B" w14:textId="77777777" w:rsidR="0027076E" w:rsidRPr="00381798" w:rsidRDefault="0027076E" w:rsidP="0027076E">
            <w:pPr>
              <w:rPr>
                <w:iCs/>
                <w:color w:val="000000"/>
              </w:rPr>
            </w:pPr>
            <w:r w:rsidRPr="00381798">
              <w:rPr>
                <w:iCs/>
                <w:color w:val="000000"/>
              </w:rPr>
              <w:t xml:space="preserve">b. Actual Disbursements over </w:t>
            </w:r>
            <w:r w:rsidRPr="00381798">
              <w:rPr>
                <w:iCs/>
                <w:color w:val="000000"/>
              </w:rPr>
              <w:lastRenderedPageBreak/>
              <w:t>Actual Obligations Incurred</w:t>
            </w:r>
          </w:p>
        </w:tc>
        <w:tc>
          <w:tcPr>
            <w:tcW w:w="1543" w:type="dxa"/>
            <w:tcBorders>
              <w:top w:val="single" w:sz="4" w:space="0" w:color="auto"/>
              <w:left w:val="single" w:sz="4" w:space="0" w:color="auto"/>
              <w:bottom w:val="single" w:sz="4" w:space="0" w:color="auto"/>
              <w:right w:val="single" w:sz="4" w:space="0" w:color="auto"/>
            </w:tcBorders>
          </w:tcPr>
          <w:p w14:paraId="54762551" w14:textId="77777777" w:rsidR="0027076E" w:rsidRDefault="0027076E" w:rsidP="0027076E">
            <w:pPr>
              <w:jc w:val="center"/>
            </w:pPr>
            <w:r>
              <w:lastRenderedPageBreak/>
              <w:t>100%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53826905" w14:textId="77777777" w:rsidR="0027076E" w:rsidRDefault="0027076E" w:rsidP="0027076E">
            <w:pPr>
              <w:jc w:val="center"/>
            </w:pPr>
            <w:r>
              <w:t>95.38%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03C16D" w14:textId="77777777" w:rsidR="0027076E" w:rsidRDefault="0027076E" w:rsidP="0027076E">
            <w:r>
              <w:t>-4.62%</w:t>
            </w:r>
          </w:p>
        </w:tc>
        <w:tc>
          <w:tcPr>
            <w:tcW w:w="1276" w:type="dxa"/>
            <w:tcBorders>
              <w:top w:val="single" w:sz="4" w:space="0" w:color="auto"/>
              <w:left w:val="single" w:sz="4" w:space="0" w:color="auto"/>
              <w:bottom w:val="single" w:sz="4" w:space="0" w:color="auto"/>
              <w:right w:val="single" w:sz="4" w:space="0" w:color="auto"/>
            </w:tcBorders>
          </w:tcPr>
          <w:p w14:paraId="24205FEC" w14:textId="77777777" w:rsidR="0027076E" w:rsidRPr="00EB000F" w:rsidRDefault="0027076E" w:rsidP="0027076E">
            <w:r>
              <w:t>Minor Deviation</w:t>
            </w:r>
          </w:p>
        </w:tc>
        <w:tc>
          <w:tcPr>
            <w:tcW w:w="1984" w:type="dxa"/>
            <w:tcBorders>
              <w:top w:val="single" w:sz="4" w:space="0" w:color="auto"/>
              <w:left w:val="single" w:sz="4" w:space="0" w:color="auto"/>
              <w:bottom w:val="single" w:sz="4" w:space="0" w:color="auto"/>
            </w:tcBorders>
          </w:tcPr>
          <w:p w14:paraId="090C94BD" w14:textId="77777777" w:rsidR="0027076E" w:rsidRPr="00622FF3" w:rsidRDefault="0027076E" w:rsidP="0027076E">
            <w:pPr>
              <w:pStyle w:val="NoSpacing"/>
            </w:pPr>
          </w:p>
        </w:tc>
      </w:tr>
      <w:tr w:rsidR="0027076E" w:rsidRPr="00B64A59" w14:paraId="65983CDC" w14:textId="77777777" w:rsidTr="00023229">
        <w:trPr>
          <w:trHeight w:val="189"/>
        </w:trPr>
        <w:tc>
          <w:tcPr>
            <w:tcW w:w="228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057AE81" w14:textId="77777777" w:rsidR="0027076E" w:rsidRDefault="0027076E" w:rsidP="0027076E">
            <w:pPr>
              <w:rPr>
                <w:color w:val="000000"/>
              </w:rPr>
            </w:pPr>
            <w:r>
              <w:rPr>
                <w:color w:val="000000"/>
              </w:rPr>
              <w:lastRenderedPageBreak/>
              <w:t>Total Actual Disbursement</w:t>
            </w:r>
          </w:p>
        </w:tc>
        <w:tc>
          <w:tcPr>
            <w:tcW w:w="1543" w:type="dxa"/>
            <w:tcBorders>
              <w:top w:val="single" w:sz="4" w:space="0" w:color="auto"/>
              <w:left w:val="single" w:sz="4" w:space="0" w:color="auto"/>
              <w:bottom w:val="single" w:sz="4" w:space="0" w:color="auto"/>
              <w:right w:val="single" w:sz="4" w:space="0" w:color="auto"/>
            </w:tcBorders>
          </w:tcPr>
          <w:p w14:paraId="1ECE8214" w14:textId="77777777" w:rsidR="0027076E" w:rsidRDefault="0027076E" w:rsidP="0027076E">
            <w:pPr>
              <w:jc w:val="cente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60EC5D" w14:textId="77777777" w:rsidR="0027076E" w:rsidRDefault="0027076E" w:rsidP="0027076E">
            <w:pPr>
              <w:jc w:val="center"/>
            </w:pPr>
            <w:r>
              <w:t>1,936,262,797.79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58A757" w14:textId="77777777" w:rsidR="0027076E" w:rsidRDefault="0027076E" w:rsidP="0027076E">
            <w:pPr>
              <w:jc w:val="center"/>
            </w:pPr>
          </w:p>
        </w:tc>
        <w:tc>
          <w:tcPr>
            <w:tcW w:w="1276" w:type="dxa"/>
            <w:tcBorders>
              <w:top w:val="single" w:sz="4" w:space="0" w:color="auto"/>
              <w:left w:val="single" w:sz="4" w:space="0" w:color="auto"/>
              <w:bottom w:val="single" w:sz="4" w:space="0" w:color="auto"/>
              <w:right w:val="single" w:sz="4" w:space="0" w:color="auto"/>
            </w:tcBorders>
          </w:tcPr>
          <w:p w14:paraId="2C18A2AD" w14:textId="77777777" w:rsidR="0027076E" w:rsidRDefault="0027076E" w:rsidP="0027076E">
            <w:pPr>
              <w:jc w:val="center"/>
            </w:pPr>
          </w:p>
        </w:tc>
        <w:tc>
          <w:tcPr>
            <w:tcW w:w="1984" w:type="dxa"/>
            <w:tcBorders>
              <w:top w:val="single" w:sz="4" w:space="0" w:color="auto"/>
              <w:left w:val="single" w:sz="4" w:space="0" w:color="auto"/>
              <w:bottom w:val="single" w:sz="4" w:space="0" w:color="auto"/>
            </w:tcBorders>
          </w:tcPr>
          <w:p w14:paraId="48259A2B" w14:textId="77777777" w:rsidR="0027076E" w:rsidRPr="00622FF3" w:rsidRDefault="0027076E" w:rsidP="0027076E">
            <w:pPr>
              <w:pStyle w:val="NoSpacing"/>
            </w:pPr>
          </w:p>
        </w:tc>
      </w:tr>
      <w:tr w:rsidR="0027076E" w:rsidRPr="00B64A59" w14:paraId="72E73AB3"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1C63AA93" w14:textId="77777777" w:rsidR="0027076E" w:rsidRDefault="0027076E" w:rsidP="0027076E">
            <w:pPr>
              <w:rPr>
                <w:color w:val="000000"/>
              </w:rPr>
            </w:pPr>
            <w:r>
              <w:rPr>
                <w:color w:val="000000"/>
              </w:rPr>
              <w:t>Total Actual Annual Obligation Incurred</w:t>
            </w:r>
          </w:p>
        </w:tc>
        <w:tc>
          <w:tcPr>
            <w:tcW w:w="1543" w:type="dxa"/>
            <w:tcBorders>
              <w:top w:val="single" w:sz="4" w:space="0" w:color="auto"/>
              <w:left w:val="single" w:sz="4" w:space="0" w:color="auto"/>
              <w:bottom w:val="single" w:sz="4" w:space="0" w:color="auto"/>
              <w:right w:val="single" w:sz="4" w:space="0" w:color="auto"/>
            </w:tcBorders>
          </w:tcPr>
          <w:p w14:paraId="36939D66" w14:textId="77777777" w:rsidR="0027076E" w:rsidRDefault="0027076E" w:rsidP="0027076E">
            <w:pPr>
              <w:jc w:val="center"/>
            </w:pPr>
          </w:p>
        </w:tc>
        <w:tc>
          <w:tcPr>
            <w:tcW w:w="1842" w:type="dxa"/>
            <w:gridSpan w:val="2"/>
            <w:tcBorders>
              <w:top w:val="nil"/>
              <w:left w:val="single" w:sz="4" w:space="0" w:color="000000"/>
              <w:bottom w:val="single" w:sz="4" w:space="0" w:color="000000"/>
              <w:right w:val="single" w:sz="4" w:space="0" w:color="000000"/>
            </w:tcBorders>
            <w:shd w:val="clear" w:color="auto" w:fill="FFFFFF" w:themeFill="background1"/>
          </w:tcPr>
          <w:p w14:paraId="580A1D48" w14:textId="77777777" w:rsidR="0027076E" w:rsidRDefault="0027076E" w:rsidP="0027076E">
            <w:pPr>
              <w:jc w:val="center"/>
            </w:pPr>
            <w:r>
              <w:t>2,029,962,443.29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123B16" w14:textId="77777777" w:rsidR="0027076E" w:rsidRDefault="0027076E" w:rsidP="0027076E">
            <w:pPr>
              <w:jc w:val="center"/>
            </w:pPr>
          </w:p>
        </w:tc>
        <w:tc>
          <w:tcPr>
            <w:tcW w:w="1276" w:type="dxa"/>
            <w:tcBorders>
              <w:top w:val="single" w:sz="4" w:space="0" w:color="auto"/>
              <w:left w:val="single" w:sz="4" w:space="0" w:color="auto"/>
              <w:bottom w:val="single" w:sz="4" w:space="0" w:color="auto"/>
              <w:right w:val="single" w:sz="4" w:space="0" w:color="auto"/>
            </w:tcBorders>
          </w:tcPr>
          <w:p w14:paraId="31716BFF" w14:textId="77777777" w:rsidR="0027076E" w:rsidRDefault="0027076E" w:rsidP="0027076E">
            <w:pPr>
              <w:jc w:val="center"/>
            </w:pPr>
          </w:p>
        </w:tc>
        <w:tc>
          <w:tcPr>
            <w:tcW w:w="1984" w:type="dxa"/>
            <w:tcBorders>
              <w:top w:val="single" w:sz="4" w:space="0" w:color="auto"/>
              <w:left w:val="single" w:sz="4" w:space="0" w:color="auto"/>
              <w:bottom w:val="single" w:sz="4" w:space="0" w:color="auto"/>
            </w:tcBorders>
          </w:tcPr>
          <w:p w14:paraId="6748E788" w14:textId="77777777" w:rsidR="0027076E" w:rsidRPr="00622FF3" w:rsidRDefault="0027076E" w:rsidP="0027076E">
            <w:pPr>
              <w:pStyle w:val="NoSpacing"/>
            </w:pPr>
          </w:p>
        </w:tc>
      </w:tr>
      <w:tr w:rsidR="0027076E" w:rsidRPr="00B64A59" w14:paraId="26516C7D"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C3CD41" w14:textId="77777777" w:rsidR="0027076E" w:rsidRPr="00041D6B" w:rsidRDefault="0027076E" w:rsidP="0027076E">
            <w:pPr>
              <w:rPr>
                <w:color w:val="000000"/>
              </w:rPr>
            </w:pPr>
            <w:r>
              <w:rPr>
                <w:color w:val="000000"/>
              </w:rPr>
              <w:t xml:space="preserve">7.14. </w:t>
            </w:r>
            <w:r w:rsidRPr="00041D6B">
              <w:rPr>
                <w:color w:val="000000"/>
              </w:rPr>
              <w:t>Percentage of cash advance liquidated</w:t>
            </w:r>
          </w:p>
        </w:tc>
        <w:tc>
          <w:tcPr>
            <w:tcW w:w="1543" w:type="dxa"/>
            <w:tcBorders>
              <w:top w:val="single" w:sz="4" w:space="0" w:color="auto"/>
              <w:left w:val="single" w:sz="4" w:space="0" w:color="auto"/>
              <w:bottom w:val="single" w:sz="4" w:space="0" w:color="auto"/>
              <w:right w:val="single" w:sz="4" w:space="0" w:color="auto"/>
            </w:tcBorders>
          </w:tcPr>
          <w:p w14:paraId="11A60391" w14:textId="77777777" w:rsidR="0027076E" w:rsidRDefault="0027076E" w:rsidP="0027076E">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28E39A0F" w14:textId="77777777" w:rsidR="0027076E" w:rsidRDefault="0027076E" w:rsidP="0027076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99F6C2" w14:textId="77777777" w:rsidR="0027076E" w:rsidRDefault="0027076E" w:rsidP="0027076E">
            <w:pPr>
              <w:jc w:val="center"/>
            </w:pPr>
          </w:p>
        </w:tc>
        <w:tc>
          <w:tcPr>
            <w:tcW w:w="1276" w:type="dxa"/>
            <w:tcBorders>
              <w:top w:val="single" w:sz="4" w:space="0" w:color="auto"/>
              <w:left w:val="single" w:sz="4" w:space="0" w:color="auto"/>
              <w:bottom w:val="single" w:sz="4" w:space="0" w:color="auto"/>
              <w:right w:val="single" w:sz="4" w:space="0" w:color="auto"/>
            </w:tcBorders>
          </w:tcPr>
          <w:p w14:paraId="339C4AFE" w14:textId="77777777" w:rsidR="0027076E" w:rsidRDefault="0027076E" w:rsidP="0027076E">
            <w:pPr>
              <w:spacing w:line="240" w:lineRule="auto"/>
              <w:jc w:val="center"/>
              <w:rPr>
                <w:rFonts w:eastAsia="Times New Roman"/>
                <w:lang w:val="en-PH" w:eastAsia="en-PH"/>
              </w:rPr>
            </w:pPr>
          </w:p>
        </w:tc>
        <w:tc>
          <w:tcPr>
            <w:tcW w:w="1984" w:type="dxa"/>
            <w:tcBorders>
              <w:top w:val="single" w:sz="4" w:space="0" w:color="auto"/>
              <w:left w:val="single" w:sz="4" w:space="0" w:color="auto"/>
              <w:bottom w:val="single" w:sz="4" w:space="0" w:color="auto"/>
            </w:tcBorders>
          </w:tcPr>
          <w:p w14:paraId="0DF5B5F0" w14:textId="77777777" w:rsidR="0027076E" w:rsidRPr="00622FF3" w:rsidRDefault="0027076E" w:rsidP="0027076E">
            <w:pPr>
              <w:pStyle w:val="NoSpacing"/>
            </w:pPr>
          </w:p>
        </w:tc>
      </w:tr>
      <w:tr w:rsidR="0027076E" w:rsidRPr="00B64A59" w14:paraId="6AD036B5"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1CBBC902" w14:textId="77777777" w:rsidR="0027076E" w:rsidRPr="00041D6B" w:rsidRDefault="0027076E" w:rsidP="0027076E">
            <w:pPr>
              <w:rPr>
                <w:iCs/>
                <w:color w:val="000000"/>
              </w:rPr>
            </w:pPr>
            <w:r w:rsidRPr="00041D6B">
              <w:rPr>
                <w:iCs/>
                <w:color w:val="000000"/>
              </w:rPr>
              <w:t>a. Advances to officers and employees</w:t>
            </w:r>
          </w:p>
        </w:tc>
        <w:tc>
          <w:tcPr>
            <w:tcW w:w="1543" w:type="dxa"/>
            <w:tcBorders>
              <w:top w:val="single" w:sz="4" w:space="0" w:color="auto"/>
              <w:left w:val="single" w:sz="4" w:space="0" w:color="auto"/>
              <w:bottom w:val="single" w:sz="4" w:space="0" w:color="auto"/>
              <w:right w:val="single" w:sz="4" w:space="0" w:color="auto"/>
            </w:tcBorders>
          </w:tcPr>
          <w:p w14:paraId="6B1B2425" w14:textId="77777777" w:rsidR="0027076E" w:rsidRDefault="0027076E" w:rsidP="0027076E">
            <w:pPr>
              <w:jc w:val="center"/>
            </w:pPr>
            <w:r>
              <w:t>100%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0B469828" w14:textId="77777777" w:rsidR="0027076E" w:rsidRDefault="0027076E" w:rsidP="0027076E">
            <w:pPr>
              <w:jc w:val="center"/>
              <w:rPr>
                <w:color w:val="000000"/>
              </w:rPr>
            </w:pPr>
            <w:r>
              <w:rPr>
                <w:color w:val="000000"/>
              </w:rPr>
              <w:t>56.92%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47DB9F" w14:textId="77777777" w:rsidR="0027076E" w:rsidRDefault="0027076E" w:rsidP="0027076E">
            <w:r>
              <w:t>-43.08%</w:t>
            </w:r>
          </w:p>
        </w:tc>
        <w:tc>
          <w:tcPr>
            <w:tcW w:w="1276" w:type="dxa"/>
            <w:tcBorders>
              <w:top w:val="single" w:sz="4" w:space="0" w:color="auto"/>
              <w:left w:val="single" w:sz="4" w:space="0" w:color="auto"/>
              <w:bottom w:val="single" w:sz="4" w:space="0" w:color="auto"/>
              <w:right w:val="single" w:sz="4" w:space="0" w:color="auto"/>
            </w:tcBorders>
          </w:tcPr>
          <w:p w14:paraId="15C1393B" w14:textId="77777777" w:rsidR="0027076E" w:rsidRPr="00EB000F" w:rsidRDefault="0027076E" w:rsidP="0027076E">
            <w:r>
              <w:t>Major Deviation</w:t>
            </w:r>
          </w:p>
        </w:tc>
        <w:tc>
          <w:tcPr>
            <w:tcW w:w="1984" w:type="dxa"/>
            <w:tcBorders>
              <w:top w:val="single" w:sz="4" w:space="0" w:color="auto"/>
              <w:left w:val="single" w:sz="4" w:space="0" w:color="auto"/>
              <w:bottom w:val="single" w:sz="4" w:space="0" w:color="auto"/>
            </w:tcBorders>
          </w:tcPr>
          <w:p w14:paraId="30BD5770" w14:textId="77777777" w:rsidR="0027076E" w:rsidRPr="00622FF3" w:rsidRDefault="0027076E" w:rsidP="0027076E">
            <w:pPr>
              <w:pStyle w:val="NoSpacing"/>
            </w:pPr>
          </w:p>
        </w:tc>
      </w:tr>
      <w:tr w:rsidR="0027076E" w:rsidRPr="00B64A59" w14:paraId="4A9C1746"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50CFA17C" w14:textId="77777777" w:rsidR="0027076E" w:rsidRPr="00041D6B" w:rsidRDefault="0027076E" w:rsidP="0027076E">
            <w:pPr>
              <w:rPr>
                <w:color w:val="000000"/>
              </w:rPr>
            </w:pPr>
            <w:r w:rsidRPr="00041D6B">
              <w:rPr>
                <w:color w:val="000000"/>
              </w:rPr>
              <w:t>Total Amount Liquidated</w:t>
            </w:r>
          </w:p>
        </w:tc>
        <w:tc>
          <w:tcPr>
            <w:tcW w:w="1543" w:type="dxa"/>
            <w:tcBorders>
              <w:top w:val="single" w:sz="4" w:space="0" w:color="auto"/>
              <w:left w:val="single" w:sz="4" w:space="0" w:color="auto"/>
              <w:bottom w:val="single" w:sz="4" w:space="0" w:color="auto"/>
              <w:right w:val="single" w:sz="4" w:space="0" w:color="auto"/>
            </w:tcBorders>
          </w:tcPr>
          <w:p w14:paraId="4872E2E5" w14:textId="77777777" w:rsidR="0027076E" w:rsidRDefault="0027076E" w:rsidP="0027076E">
            <w:pPr>
              <w:jc w:val="cente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A7744A7" w14:textId="77777777" w:rsidR="0027076E" w:rsidRDefault="0027076E" w:rsidP="0027076E">
            <w:pPr>
              <w:spacing w:line="240" w:lineRule="auto"/>
              <w:jc w:val="center"/>
              <w:rPr>
                <w:rFonts w:eastAsia="Times New Roman"/>
                <w:lang w:val="en-PH" w:eastAsia="en-PH"/>
              </w:rPr>
            </w:pPr>
            <w:r>
              <w:t>1,120,033.63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91B639" w14:textId="77777777" w:rsidR="0027076E" w:rsidRDefault="0027076E" w:rsidP="0027076E"/>
        </w:tc>
        <w:tc>
          <w:tcPr>
            <w:tcW w:w="1276" w:type="dxa"/>
            <w:tcBorders>
              <w:top w:val="single" w:sz="4" w:space="0" w:color="auto"/>
              <w:left w:val="single" w:sz="4" w:space="0" w:color="auto"/>
              <w:bottom w:val="single" w:sz="4" w:space="0" w:color="auto"/>
              <w:right w:val="single" w:sz="4" w:space="0" w:color="auto"/>
            </w:tcBorders>
          </w:tcPr>
          <w:p w14:paraId="0D0896C8" w14:textId="77777777" w:rsidR="0027076E" w:rsidRPr="00EB000F" w:rsidRDefault="0027076E" w:rsidP="0027076E"/>
        </w:tc>
        <w:tc>
          <w:tcPr>
            <w:tcW w:w="1984" w:type="dxa"/>
            <w:tcBorders>
              <w:top w:val="single" w:sz="4" w:space="0" w:color="auto"/>
              <w:left w:val="single" w:sz="4" w:space="0" w:color="auto"/>
              <w:bottom w:val="single" w:sz="4" w:space="0" w:color="auto"/>
            </w:tcBorders>
          </w:tcPr>
          <w:p w14:paraId="1D8D239E" w14:textId="77777777" w:rsidR="0027076E" w:rsidRPr="00622FF3" w:rsidRDefault="0027076E" w:rsidP="0027076E">
            <w:pPr>
              <w:pStyle w:val="NoSpacing"/>
            </w:pPr>
          </w:p>
        </w:tc>
      </w:tr>
      <w:tr w:rsidR="0027076E" w:rsidRPr="00B64A59" w14:paraId="1B9EDB66"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6135BF14" w14:textId="77777777" w:rsidR="0027076E" w:rsidRPr="00041D6B" w:rsidRDefault="0027076E" w:rsidP="0027076E">
            <w:pPr>
              <w:rPr>
                <w:color w:val="000000"/>
              </w:rPr>
            </w:pPr>
            <w:r w:rsidRPr="00041D6B">
              <w:rPr>
                <w:color w:val="000000"/>
              </w:rPr>
              <w:t>Total Cash Advance Processed</w:t>
            </w:r>
          </w:p>
        </w:tc>
        <w:tc>
          <w:tcPr>
            <w:tcW w:w="1543" w:type="dxa"/>
            <w:tcBorders>
              <w:top w:val="single" w:sz="4" w:space="0" w:color="auto"/>
              <w:left w:val="single" w:sz="4" w:space="0" w:color="auto"/>
              <w:bottom w:val="single" w:sz="4" w:space="0" w:color="auto"/>
              <w:right w:val="single" w:sz="4" w:space="0" w:color="auto"/>
            </w:tcBorders>
          </w:tcPr>
          <w:p w14:paraId="65F05C9F" w14:textId="77777777" w:rsidR="0027076E" w:rsidRDefault="0027076E" w:rsidP="0027076E">
            <w:pPr>
              <w:jc w:val="center"/>
            </w:pPr>
          </w:p>
        </w:tc>
        <w:tc>
          <w:tcPr>
            <w:tcW w:w="1842" w:type="dxa"/>
            <w:gridSpan w:val="2"/>
            <w:tcBorders>
              <w:top w:val="nil"/>
              <w:left w:val="single" w:sz="4" w:space="0" w:color="000000"/>
              <w:bottom w:val="single" w:sz="4" w:space="0" w:color="000000"/>
              <w:right w:val="single" w:sz="4" w:space="0" w:color="000000"/>
            </w:tcBorders>
            <w:shd w:val="clear" w:color="auto" w:fill="FFFFFF" w:themeFill="background1"/>
          </w:tcPr>
          <w:p w14:paraId="511E315A" w14:textId="77777777" w:rsidR="0027076E" w:rsidRDefault="0027076E" w:rsidP="0027076E">
            <w:pPr>
              <w:jc w:val="center"/>
            </w:pPr>
            <w:r>
              <w:t>1,967,649.96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5831A0" w14:textId="77777777" w:rsidR="0027076E" w:rsidRDefault="0027076E" w:rsidP="0027076E"/>
        </w:tc>
        <w:tc>
          <w:tcPr>
            <w:tcW w:w="1276" w:type="dxa"/>
            <w:tcBorders>
              <w:top w:val="single" w:sz="4" w:space="0" w:color="auto"/>
              <w:left w:val="single" w:sz="4" w:space="0" w:color="auto"/>
              <w:bottom w:val="single" w:sz="4" w:space="0" w:color="auto"/>
              <w:right w:val="single" w:sz="4" w:space="0" w:color="auto"/>
            </w:tcBorders>
          </w:tcPr>
          <w:p w14:paraId="68747820" w14:textId="77777777" w:rsidR="0027076E" w:rsidRPr="00EB000F" w:rsidRDefault="0027076E" w:rsidP="0027076E"/>
        </w:tc>
        <w:tc>
          <w:tcPr>
            <w:tcW w:w="1984" w:type="dxa"/>
            <w:tcBorders>
              <w:top w:val="single" w:sz="4" w:space="0" w:color="auto"/>
              <w:left w:val="single" w:sz="4" w:space="0" w:color="auto"/>
              <w:bottom w:val="single" w:sz="4" w:space="0" w:color="auto"/>
            </w:tcBorders>
          </w:tcPr>
          <w:p w14:paraId="57315BE2" w14:textId="77777777" w:rsidR="0027076E" w:rsidRPr="00622FF3" w:rsidRDefault="0027076E" w:rsidP="0027076E">
            <w:pPr>
              <w:pStyle w:val="NoSpacing"/>
            </w:pPr>
          </w:p>
        </w:tc>
      </w:tr>
      <w:tr w:rsidR="0027076E" w:rsidRPr="00B64A59" w14:paraId="3DDE9663"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385399EB" w14:textId="77777777" w:rsidR="0027076E" w:rsidRPr="00041D6B" w:rsidRDefault="0027076E" w:rsidP="0027076E">
            <w:pPr>
              <w:rPr>
                <w:iCs/>
                <w:color w:val="000000"/>
              </w:rPr>
            </w:pPr>
            <w:r w:rsidRPr="00041D6B">
              <w:rPr>
                <w:iCs/>
                <w:color w:val="000000"/>
              </w:rPr>
              <w:t>b. Advances to SDOs</w:t>
            </w:r>
          </w:p>
        </w:tc>
        <w:tc>
          <w:tcPr>
            <w:tcW w:w="1543" w:type="dxa"/>
            <w:tcBorders>
              <w:top w:val="single" w:sz="4" w:space="0" w:color="auto"/>
              <w:left w:val="single" w:sz="4" w:space="0" w:color="auto"/>
              <w:bottom w:val="single" w:sz="4" w:space="0" w:color="auto"/>
              <w:right w:val="single" w:sz="4" w:space="0" w:color="auto"/>
            </w:tcBorders>
          </w:tcPr>
          <w:p w14:paraId="7A44993F" w14:textId="77777777" w:rsidR="0027076E" w:rsidRDefault="0027076E" w:rsidP="0027076E">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34B7EDAA" w14:textId="77777777" w:rsidR="0027076E" w:rsidRDefault="0027076E" w:rsidP="0027076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255C44" w14:textId="77777777" w:rsidR="0027076E" w:rsidRDefault="0027076E" w:rsidP="0027076E"/>
        </w:tc>
        <w:tc>
          <w:tcPr>
            <w:tcW w:w="1276" w:type="dxa"/>
            <w:tcBorders>
              <w:top w:val="single" w:sz="4" w:space="0" w:color="auto"/>
              <w:left w:val="single" w:sz="4" w:space="0" w:color="auto"/>
              <w:bottom w:val="single" w:sz="4" w:space="0" w:color="auto"/>
              <w:right w:val="single" w:sz="4" w:space="0" w:color="auto"/>
            </w:tcBorders>
          </w:tcPr>
          <w:p w14:paraId="27515773" w14:textId="77777777" w:rsidR="0027076E" w:rsidRPr="00EB000F" w:rsidRDefault="0027076E" w:rsidP="0027076E"/>
        </w:tc>
        <w:tc>
          <w:tcPr>
            <w:tcW w:w="1984" w:type="dxa"/>
            <w:tcBorders>
              <w:top w:val="single" w:sz="4" w:space="0" w:color="auto"/>
              <w:left w:val="single" w:sz="4" w:space="0" w:color="auto"/>
              <w:bottom w:val="single" w:sz="4" w:space="0" w:color="auto"/>
            </w:tcBorders>
          </w:tcPr>
          <w:p w14:paraId="769499D6" w14:textId="77777777" w:rsidR="0027076E" w:rsidRPr="00622FF3" w:rsidRDefault="0027076E" w:rsidP="0027076E">
            <w:pPr>
              <w:pStyle w:val="NoSpacing"/>
            </w:pPr>
          </w:p>
        </w:tc>
      </w:tr>
      <w:tr w:rsidR="0027076E" w:rsidRPr="00B64A59" w14:paraId="0759C590"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1F3C2052" w14:textId="77777777" w:rsidR="0027076E" w:rsidRPr="00041D6B" w:rsidRDefault="0027076E" w:rsidP="0027076E">
            <w:pPr>
              <w:rPr>
                <w:color w:val="000000"/>
              </w:rPr>
            </w:pPr>
            <w:r w:rsidRPr="00041D6B">
              <w:rPr>
                <w:color w:val="000000"/>
              </w:rPr>
              <w:t>b.1 Current Year</w:t>
            </w:r>
          </w:p>
        </w:tc>
        <w:tc>
          <w:tcPr>
            <w:tcW w:w="1543" w:type="dxa"/>
            <w:tcBorders>
              <w:top w:val="single" w:sz="4" w:space="0" w:color="auto"/>
              <w:left w:val="single" w:sz="4" w:space="0" w:color="auto"/>
              <w:bottom w:val="single" w:sz="4" w:space="0" w:color="auto"/>
              <w:right w:val="single" w:sz="4" w:space="0" w:color="auto"/>
            </w:tcBorders>
          </w:tcPr>
          <w:p w14:paraId="60B0A0C9" w14:textId="77777777" w:rsidR="0027076E" w:rsidRDefault="0027076E" w:rsidP="0027076E">
            <w:pPr>
              <w:jc w:val="center"/>
            </w:pPr>
            <w:r>
              <w:t>100%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7315254B" w14:textId="77777777" w:rsidR="0027076E" w:rsidRPr="0027076E" w:rsidRDefault="0027076E" w:rsidP="0027076E">
            <w:pPr>
              <w:spacing w:line="240" w:lineRule="auto"/>
              <w:jc w:val="center"/>
              <w:rPr>
                <w:rFonts w:eastAsia="Times New Roman"/>
                <w:bCs/>
                <w:lang w:val="en-PH" w:eastAsia="en-PH"/>
              </w:rPr>
            </w:pPr>
            <w:r w:rsidRPr="0027076E">
              <w:rPr>
                <w:bCs/>
              </w:rPr>
              <w:t>66.28%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44AC21" w14:textId="77777777" w:rsidR="0027076E" w:rsidRDefault="0027076E" w:rsidP="0027076E">
            <w:r>
              <w:t>-33.72%</w:t>
            </w:r>
          </w:p>
        </w:tc>
        <w:tc>
          <w:tcPr>
            <w:tcW w:w="1276" w:type="dxa"/>
            <w:tcBorders>
              <w:top w:val="single" w:sz="4" w:space="0" w:color="auto"/>
              <w:left w:val="single" w:sz="4" w:space="0" w:color="auto"/>
              <w:bottom w:val="single" w:sz="4" w:space="0" w:color="auto"/>
              <w:right w:val="single" w:sz="4" w:space="0" w:color="auto"/>
            </w:tcBorders>
          </w:tcPr>
          <w:p w14:paraId="1E8C2776" w14:textId="77777777" w:rsidR="0027076E" w:rsidRPr="00EB000F" w:rsidRDefault="0027076E" w:rsidP="0027076E">
            <w:r>
              <w:t>Major Deviation</w:t>
            </w:r>
          </w:p>
        </w:tc>
        <w:tc>
          <w:tcPr>
            <w:tcW w:w="1984" w:type="dxa"/>
            <w:tcBorders>
              <w:top w:val="single" w:sz="4" w:space="0" w:color="auto"/>
              <w:left w:val="single" w:sz="4" w:space="0" w:color="auto"/>
              <w:bottom w:val="single" w:sz="4" w:space="0" w:color="auto"/>
            </w:tcBorders>
          </w:tcPr>
          <w:p w14:paraId="01D2998F" w14:textId="77777777" w:rsidR="0027076E" w:rsidRPr="00622FF3" w:rsidRDefault="0027076E" w:rsidP="0027076E">
            <w:pPr>
              <w:pStyle w:val="NoSpacing"/>
            </w:pPr>
          </w:p>
        </w:tc>
      </w:tr>
      <w:tr w:rsidR="0027076E" w:rsidRPr="00B64A59" w14:paraId="13DE58B8"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19FCEB27" w14:textId="77777777" w:rsidR="0027076E" w:rsidRPr="00041D6B" w:rsidRDefault="0027076E" w:rsidP="0027076E">
            <w:pPr>
              <w:rPr>
                <w:color w:val="000000"/>
              </w:rPr>
            </w:pPr>
            <w:r w:rsidRPr="00041D6B">
              <w:rPr>
                <w:color w:val="000000"/>
              </w:rPr>
              <w:t>Total Amount Liquidated</w:t>
            </w:r>
          </w:p>
        </w:tc>
        <w:tc>
          <w:tcPr>
            <w:tcW w:w="1543" w:type="dxa"/>
            <w:tcBorders>
              <w:top w:val="single" w:sz="4" w:space="0" w:color="auto"/>
              <w:left w:val="single" w:sz="4" w:space="0" w:color="auto"/>
              <w:bottom w:val="single" w:sz="4" w:space="0" w:color="auto"/>
              <w:right w:val="single" w:sz="4" w:space="0" w:color="auto"/>
            </w:tcBorders>
          </w:tcPr>
          <w:p w14:paraId="16D5E65E" w14:textId="77777777" w:rsidR="0027076E" w:rsidRDefault="0027076E" w:rsidP="0027076E">
            <w:pPr>
              <w:jc w:val="center"/>
            </w:pPr>
          </w:p>
        </w:tc>
        <w:tc>
          <w:tcPr>
            <w:tcW w:w="1842" w:type="dxa"/>
            <w:gridSpan w:val="2"/>
            <w:tcBorders>
              <w:top w:val="single" w:sz="4" w:space="0" w:color="auto"/>
              <w:left w:val="single" w:sz="4" w:space="0" w:color="000000"/>
              <w:bottom w:val="single" w:sz="4" w:space="0" w:color="auto"/>
              <w:right w:val="single" w:sz="4" w:space="0" w:color="auto"/>
            </w:tcBorders>
            <w:shd w:val="clear" w:color="auto" w:fill="FFFFFF" w:themeFill="background1"/>
          </w:tcPr>
          <w:p w14:paraId="26F35903" w14:textId="77777777" w:rsidR="0027076E" w:rsidRDefault="0027076E" w:rsidP="0027076E">
            <w:pPr>
              <w:jc w:val="center"/>
            </w:pPr>
            <w:r>
              <w:t>1,111,239,511.63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AA9467" w14:textId="77777777" w:rsidR="0027076E" w:rsidRDefault="0027076E" w:rsidP="0027076E"/>
        </w:tc>
        <w:tc>
          <w:tcPr>
            <w:tcW w:w="1276" w:type="dxa"/>
            <w:tcBorders>
              <w:top w:val="single" w:sz="4" w:space="0" w:color="auto"/>
              <w:left w:val="single" w:sz="4" w:space="0" w:color="auto"/>
              <w:bottom w:val="single" w:sz="4" w:space="0" w:color="auto"/>
              <w:right w:val="single" w:sz="4" w:space="0" w:color="auto"/>
            </w:tcBorders>
          </w:tcPr>
          <w:p w14:paraId="0B0C207B" w14:textId="77777777" w:rsidR="0027076E" w:rsidRPr="00EB000F" w:rsidRDefault="0027076E" w:rsidP="0027076E"/>
        </w:tc>
        <w:tc>
          <w:tcPr>
            <w:tcW w:w="1984" w:type="dxa"/>
            <w:tcBorders>
              <w:top w:val="single" w:sz="4" w:space="0" w:color="auto"/>
              <w:left w:val="single" w:sz="4" w:space="0" w:color="auto"/>
              <w:bottom w:val="single" w:sz="4" w:space="0" w:color="auto"/>
            </w:tcBorders>
          </w:tcPr>
          <w:p w14:paraId="6B46BD70" w14:textId="77777777" w:rsidR="0027076E" w:rsidRPr="00622FF3" w:rsidRDefault="0027076E" w:rsidP="0027076E">
            <w:pPr>
              <w:pStyle w:val="NoSpacing"/>
            </w:pPr>
          </w:p>
        </w:tc>
      </w:tr>
      <w:tr w:rsidR="0027076E" w:rsidRPr="00B64A59" w14:paraId="0CD6AB41"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53FE3507" w14:textId="77777777" w:rsidR="0027076E" w:rsidRPr="00041D6B" w:rsidRDefault="0027076E" w:rsidP="0027076E">
            <w:pPr>
              <w:rPr>
                <w:color w:val="000000"/>
              </w:rPr>
            </w:pPr>
            <w:r w:rsidRPr="00041D6B">
              <w:rPr>
                <w:color w:val="000000"/>
              </w:rPr>
              <w:t>Total Cash Advance Processed</w:t>
            </w:r>
          </w:p>
        </w:tc>
        <w:tc>
          <w:tcPr>
            <w:tcW w:w="1543" w:type="dxa"/>
            <w:tcBorders>
              <w:top w:val="single" w:sz="4" w:space="0" w:color="auto"/>
              <w:left w:val="single" w:sz="4" w:space="0" w:color="auto"/>
              <w:bottom w:val="single" w:sz="4" w:space="0" w:color="auto"/>
              <w:right w:val="single" w:sz="4" w:space="0" w:color="auto"/>
            </w:tcBorders>
          </w:tcPr>
          <w:p w14:paraId="5A45317F" w14:textId="77777777" w:rsidR="0027076E" w:rsidRDefault="0027076E" w:rsidP="0027076E">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88BAD1" w14:textId="77777777" w:rsidR="0027076E" w:rsidRDefault="0027076E" w:rsidP="0027076E">
            <w:pPr>
              <w:jc w:val="center"/>
            </w:pPr>
            <w:r>
              <w:t>1,676,574,208.11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73AA0F" w14:textId="77777777" w:rsidR="0027076E" w:rsidRDefault="0027076E" w:rsidP="0027076E"/>
        </w:tc>
        <w:tc>
          <w:tcPr>
            <w:tcW w:w="1276" w:type="dxa"/>
            <w:tcBorders>
              <w:top w:val="single" w:sz="4" w:space="0" w:color="auto"/>
              <w:left w:val="single" w:sz="4" w:space="0" w:color="auto"/>
              <w:bottom w:val="single" w:sz="4" w:space="0" w:color="auto"/>
              <w:right w:val="single" w:sz="4" w:space="0" w:color="auto"/>
            </w:tcBorders>
          </w:tcPr>
          <w:p w14:paraId="6B4FDBE3" w14:textId="77777777" w:rsidR="0027076E" w:rsidRPr="00EB000F" w:rsidRDefault="0027076E" w:rsidP="0027076E"/>
        </w:tc>
        <w:tc>
          <w:tcPr>
            <w:tcW w:w="1984" w:type="dxa"/>
            <w:tcBorders>
              <w:top w:val="single" w:sz="4" w:space="0" w:color="auto"/>
              <w:left w:val="single" w:sz="4" w:space="0" w:color="auto"/>
              <w:bottom w:val="single" w:sz="4" w:space="0" w:color="auto"/>
            </w:tcBorders>
          </w:tcPr>
          <w:p w14:paraId="71B37684" w14:textId="77777777" w:rsidR="0027076E" w:rsidRPr="00622FF3" w:rsidRDefault="0027076E" w:rsidP="0027076E">
            <w:pPr>
              <w:pStyle w:val="NoSpacing"/>
            </w:pPr>
          </w:p>
        </w:tc>
      </w:tr>
      <w:tr w:rsidR="0027076E" w:rsidRPr="00B64A59" w14:paraId="0F5D25D2" w14:textId="77777777" w:rsidTr="00023229">
        <w:trPr>
          <w:trHeight w:val="189"/>
        </w:trPr>
        <w:tc>
          <w:tcPr>
            <w:tcW w:w="2280"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274957C" w14:textId="77777777" w:rsidR="0027076E" w:rsidRPr="00041D6B" w:rsidRDefault="0027076E" w:rsidP="0027076E">
            <w:pPr>
              <w:rPr>
                <w:color w:val="000000"/>
              </w:rPr>
            </w:pPr>
            <w:r w:rsidRPr="00041D6B">
              <w:rPr>
                <w:color w:val="000000"/>
              </w:rPr>
              <w:t>b.2 Prior Years</w:t>
            </w:r>
          </w:p>
        </w:tc>
        <w:tc>
          <w:tcPr>
            <w:tcW w:w="1543" w:type="dxa"/>
            <w:tcBorders>
              <w:top w:val="single" w:sz="4" w:space="0" w:color="auto"/>
              <w:left w:val="single" w:sz="4" w:space="0" w:color="auto"/>
              <w:bottom w:val="single" w:sz="4" w:space="0" w:color="auto"/>
              <w:right w:val="single" w:sz="4" w:space="0" w:color="auto"/>
            </w:tcBorders>
          </w:tcPr>
          <w:p w14:paraId="6D978AB7" w14:textId="77777777" w:rsidR="0027076E" w:rsidRDefault="0027076E" w:rsidP="0027076E">
            <w:pPr>
              <w:jc w:val="center"/>
            </w:pPr>
            <w:r>
              <w:t>100%</w:t>
            </w:r>
          </w:p>
        </w:tc>
        <w:tc>
          <w:tcPr>
            <w:tcW w:w="1842" w:type="dxa"/>
            <w:gridSpan w:val="2"/>
            <w:tcBorders>
              <w:top w:val="single" w:sz="4" w:space="0" w:color="auto"/>
              <w:left w:val="single" w:sz="4" w:space="0" w:color="000000"/>
              <w:bottom w:val="single" w:sz="4" w:space="0" w:color="auto"/>
              <w:right w:val="single" w:sz="4" w:space="0" w:color="auto"/>
            </w:tcBorders>
            <w:shd w:val="clear" w:color="auto" w:fill="FFFFFF" w:themeFill="background1"/>
          </w:tcPr>
          <w:p w14:paraId="69B1720F" w14:textId="77777777" w:rsidR="0027076E" w:rsidRPr="0027076E" w:rsidRDefault="0027076E" w:rsidP="0027076E">
            <w:pPr>
              <w:jc w:val="center"/>
              <w:rPr>
                <w:bCs/>
              </w:rPr>
            </w:pPr>
            <w:r w:rsidRPr="0027076E">
              <w:rPr>
                <w:bCs/>
              </w:rPr>
              <w:t>99.20%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7192B9" w14:textId="77777777" w:rsidR="0027076E" w:rsidRDefault="0027076E" w:rsidP="0027076E">
            <w:r>
              <w:t>-.80%</w:t>
            </w:r>
          </w:p>
        </w:tc>
        <w:tc>
          <w:tcPr>
            <w:tcW w:w="1276" w:type="dxa"/>
            <w:tcBorders>
              <w:top w:val="single" w:sz="4" w:space="0" w:color="auto"/>
              <w:left w:val="single" w:sz="4" w:space="0" w:color="auto"/>
              <w:bottom w:val="single" w:sz="4" w:space="0" w:color="auto"/>
              <w:right w:val="single" w:sz="4" w:space="0" w:color="auto"/>
            </w:tcBorders>
          </w:tcPr>
          <w:p w14:paraId="3B16A4EA" w14:textId="77777777" w:rsidR="0027076E" w:rsidRPr="00EB000F" w:rsidRDefault="0027076E" w:rsidP="0027076E">
            <w:r>
              <w:t>Minor Deviation</w:t>
            </w:r>
          </w:p>
        </w:tc>
        <w:tc>
          <w:tcPr>
            <w:tcW w:w="1984" w:type="dxa"/>
            <w:tcBorders>
              <w:top w:val="single" w:sz="4" w:space="0" w:color="auto"/>
              <w:left w:val="single" w:sz="4" w:space="0" w:color="auto"/>
              <w:bottom w:val="single" w:sz="4" w:space="0" w:color="auto"/>
            </w:tcBorders>
          </w:tcPr>
          <w:p w14:paraId="6EC17973" w14:textId="77777777" w:rsidR="0027076E" w:rsidRPr="00622FF3" w:rsidRDefault="0027076E" w:rsidP="0027076E">
            <w:pPr>
              <w:pStyle w:val="NoSpacing"/>
            </w:pPr>
          </w:p>
        </w:tc>
      </w:tr>
      <w:tr w:rsidR="0027076E" w:rsidRPr="00B64A59" w14:paraId="5888D20A"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03809247" w14:textId="77777777" w:rsidR="0027076E" w:rsidRPr="00041D6B" w:rsidRDefault="0027076E" w:rsidP="0027076E">
            <w:pPr>
              <w:rPr>
                <w:color w:val="000000"/>
              </w:rPr>
            </w:pPr>
            <w:r w:rsidRPr="00041D6B">
              <w:rPr>
                <w:color w:val="000000"/>
              </w:rPr>
              <w:t>Total Amount Liquidated</w:t>
            </w:r>
          </w:p>
        </w:tc>
        <w:tc>
          <w:tcPr>
            <w:tcW w:w="1543" w:type="dxa"/>
            <w:tcBorders>
              <w:top w:val="single" w:sz="4" w:space="0" w:color="auto"/>
              <w:left w:val="single" w:sz="4" w:space="0" w:color="auto"/>
              <w:bottom w:val="single" w:sz="4" w:space="0" w:color="auto"/>
              <w:right w:val="single" w:sz="4" w:space="0" w:color="auto"/>
            </w:tcBorders>
          </w:tcPr>
          <w:p w14:paraId="76786EFA" w14:textId="77777777" w:rsidR="0027076E" w:rsidRDefault="0027076E" w:rsidP="0027076E">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466E13" w14:textId="77777777" w:rsidR="0027076E" w:rsidRPr="00044486" w:rsidRDefault="0027076E" w:rsidP="0027076E">
            <w:r w:rsidRPr="00044486">
              <w:t>349,561,454.78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F98F1D" w14:textId="77777777" w:rsidR="0027076E" w:rsidRDefault="0027076E" w:rsidP="0027076E"/>
        </w:tc>
        <w:tc>
          <w:tcPr>
            <w:tcW w:w="1276" w:type="dxa"/>
            <w:tcBorders>
              <w:top w:val="single" w:sz="4" w:space="0" w:color="auto"/>
              <w:left w:val="single" w:sz="4" w:space="0" w:color="auto"/>
              <w:bottom w:val="single" w:sz="4" w:space="0" w:color="auto"/>
              <w:right w:val="single" w:sz="4" w:space="0" w:color="auto"/>
            </w:tcBorders>
          </w:tcPr>
          <w:p w14:paraId="75F43EEC" w14:textId="77777777" w:rsidR="0027076E" w:rsidRPr="00EB000F" w:rsidRDefault="0027076E" w:rsidP="0027076E"/>
        </w:tc>
        <w:tc>
          <w:tcPr>
            <w:tcW w:w="1984" w:type="dxa"/>
            <w:tcBorders>
              <w:top w:val="single" w:sz="4" w:space="0" w:color="auto"/>
              <w:left w:val="single" w:sz="4" w:space="0" w:color="auto"/>
              <w:bottom w:val="single" w:sz="4" w:space="0" w:color="auto"/>
            </w:tcBorders>
          </w:tcPr>
          <w:p w14:paraId="361ED973" w14:textId="77777777" w:rsidR="0027076E" w:rsidRPr="00622FF3" w:rsidRDefault="0027076E" w:rsidP="0027076E">
            <w:pPr>
              <w:pStyle w:val="NoSpacing"/>
            </w:pPr>
          </w:p>
        </w:tc>
      </w:tr>
      <w:tr w:rsidR="0027076E" w:rsidRPr="00B64A59" w14:paraId="4E825F54" w14:textId="77777777" w:rsidTr="00023229">
        <w:trPr>
          <w:trHeight w:val="189"/>
        </w:trPr>
        <w:tc>
          <w:tcPr>
            <w:tcW w:w="228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3EEAB7E" w14:textId="77777777" w:rsidR="0027076E" w:rsidRPr="00041D6B" w:rsidRDefault="0027076E" w:rsidP="0027076E">
            <w:pPr>
              <w:rPr>
                <w:color w:val="000000"/>
              </w:rPr>
            </w:pPr>
            <w:r w:rsidRPr="00041D6B">
              <w:rPr>
                <w:color w:val="000000"/>
              </w:rPr>
              <w:t>Total Cash Advance Processed</w:t>
            </w:r>
          </w:p>
        </w:tc>
        <w:tc>
          <w:tcPr>
            <w:tcW w:w="1543" w:type="dxa"/>
            <w:tcBorders>
              <w:top w:val="single" w:sz="4" w:space="0" w:color="auto"/>
              <w:left w:val="single" w:sz="4" w:space="0" w:color="auto"/>
              <w:bottom w:val="single" w:sz="4" w:space="0" w:color="auto"/>
              <w:right w:val="single" w:sz="4" w:space="0" w:color="auto"/>
            </w:tcBorders>
          </w:tcPr>
          <w:p w14:paraId="4635BCCA" w14:textId="77777777" w:rsidR="0027076E" w:rsidRDefault="0027076E" w:rsidP="0027076E">
            <w:pPr>
              <w:jc w:val="center"/>
            </w:pPr>
          </w:p>
        </w:tc>
        <w:tc>
          <w:tcPr>
            <w:tcW w:w="1842"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14:paraId="16987E2E" w14:textId="77777777" w:rsidR="0027076E" w:rsidRDefault="0027076E" w:rsidP="0027076E">
            <w:r w:rsidRPr="00044486">
              <w:t>352,365,647.42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2D7AA8" w14:textId="77777777" w:rsidR="0027076E" w:rsidRDefault="0027076E" w:rsidP="0027076E"/>
        </w:tc>
        <w:tc>
          <w:tcPr>
            <w:tcW w:w="1276" w:type="dxa"/>
            <w:tcBorders>
              <w:top w:val="single" w:sz="4" w:space="0" w:color="auto"/>
              <w:left w:val="single" w:sz="4" w:space="0" w:color="auto"/>
              <w:bottom w:val="single" w:sz="4" w:space="0" w:color="auto"/>
              <w:right w:val="single" w:sz="4" w:space="0" w:color="auto"/>
            </w:tcBorders>
          </w:tcPr>
          <w:p w14:paraId="32C777F7" w14:textId="77777777" w:rsidR="0027076E" w:rsidRPr="00EB000F" w:rsidRDefault="0027076E" w:rsidP="0027076E"/>
        </w:tc>
        <w:tc>
          <w:tcPr>
            <w:tcW w:w="1984" w:type="dxa"/>
            <w:tcBorders>
              <w:top w:val="single" w:sz="4" w:space="0" w:color="auto"/>
              <w:left w:val="single" w:sz="4" w:space="0" w:color="auto"/>
              <w:bottom w:val="single" w:sz="4" w:space="0" w:color="auto"/>
            </w:tcBorders>
          </w:tcPr>
          <w:p w14:paraId="29521F2A" w14:textId="77777777" w:rsidR="0027076E" w:rsidRPr="00622FF3" w:rsidRDefault="0027076E" w:rsidP="0027076E">
            <w:pPr>
              <w:pStyle w:val="NoSpacing"/>
            </w:pPr>
          </w:p>
        </w:tc>
      </w:tr>
      <w:tr w:rsidR="0027076E" w:rsidRPr="00B64A59" w14:paraId="068962E4"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9007E2" w14:textId="77777777" w:rsidR="0027076E" w:rsidRPr="00041D6B" w:rsidRDefault="0027076E" w:rsidP="0027076E">
            <w:pPr>
              <w:rPr>
                <w:iCs/>
                <w:color w:val="000000"/>
              </w:rPr>
            </w:pPr>
            <w:r w:rsidRPr="00041D6B">
              <w:rPr>
                <w:iCs/>
                <w:color w:val="000000"/>
              </w:rPr>
              <w:t>c. Inter-agency transferred funds</w:t>
            </w:r>
          </w:p>
        </w:tc>
        <w:tc>
          <w:tcPr>
            <w:tcW w:w="1543" w:type="dxa"/>
            <w:tcBorders>
              <w:top w:val="single" w:sz="4" w:space="0" w:color="auto"/>
              <w:left w:val="single" w:sz="4" w:space="0" w:color="auto"/>
              <w:bottom w:val="single" w:sz="4" w:space="0" w:color="auto"/>
              <w:right w:val="single" w:sz="4" w:space="0" w:color="auto"/>
            </w:tcBorders>
          </w:tcPr>
          <w:p w14:paraId="028B584D" w14:textId="77777777" w:rsidR="0027076E" w:rsidRPr="00041D6B" w:rsidRDefault="0027076E" w:rsidP="0027076E">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36C7245E" w14:textId="77777777" w:rsidR="0027076E" w:rsidRPr="00041D6B" w:rsidRDefault="0027076E" w:rsidP="0027076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CAEBF1" w14:textId="77777777" w:rsidR="0027076E" w:rsidRPr="00041D6B" w:rsidRDefault="0027076E" w:rsidP="0027076E"/>
        </w:tc>
        <w:tc>
          <w:tcPr>
            <w:tcW w:w="1276" w:type="dxa"/>
            <w:tcBorders>
              <w:top w:val="single" w:sz="4" w:space="0" w:color="auto"/>
              <w:left w:val="single" w:sz="4" w:space="0" w:color="auto"/>
              <w:bottom w:val="single" w:sz="4" w:space="0" w:color="auto"/>
              <w:right w:val="single" w:sz="4" w:space="0" w:color="auto"/>
            </w:tcBorders>
          </w:tcPr>
          <w:p w14:paraId="53CA3319" w14:textId="77777777" w:rsidR="0027076E" w:rsidRPr="00041D6B" w:rsidRDefault="0027076E" w:rsidP="0027076E"/>
        </w:tc>
        <w:tc>
          <w:tcPr>
            <w:tcW w:w="1984" w:type="dxa"/>
            <w:tcBorders>
              <w:top w:val="single" w:sz="4" w:space="0" w:color="auto"/>
              <w:left w:val="single" w:sz="4" w:space="0" w:color="auto"/>
              <w:bottom w:val="single" w:sz="4" w:space="0" w:color="auto"/>
            </w:tcBorders>
          </w:tcPr>
          <w:p w14:paraId="0F1728EA" w14:textId="77777777" w:rsidR="0027076E" w:rsidRPr="00041D6B" w:rsidRDefault="0027076E" w:rsidP="0027076E">
            <w:pPr>
              <w:pStyle w:val="NoSpacing"/>
            </w:pPr>
          </w:p>
        </w:tc>
      </w:tr>
      <w:tr w:rsidR="0027076E" w:rsidRPr="00B64A59" w14:paraId="63A9835D"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5FA37C0C" w14:textId="77777777" w:rsidR="0027076E" w:rsidRPr="00041D6B" w:rsidRDefault="0027076E" w:rsidP="0027076E">
            <w:pPr>
              <w:rPr>
                <w:color w:val="000000"/>
              </w:rPr>
            </w:pPr>
            <w:r w:rsidRPr="00041D6B">
              <w:rPr>
                <w:color w:val="000000"/>
              </w:rPr>
              <w:t>c.1 Current Year</w:t>
            </w:r>
          </w:p>
        </w:tc>
        <w:tc>
          <w:tcPr>
            <w:tcW w:w="1543" w:type="dxa"/>
            <w:tcBorders>
              <w:top w:val="single" w:sz="4" w:space="0" w:color="auto"/>
              <w:left w:val="single" w:sz="4" w:space="0" w:color="auto"/>
              <w:bottom w:val="single" w:sz="4" w:space="0" w:color="auto"/>
              <w:right w:val="single" w:sz="4" w:space="0" w:color="auto"/>
            </w:tcBorders>
          </w:tcPr>
          <w:p w14:paraId="1DDAD38B" w14:textId="77777777" w:rsidR="0027076E" w:rsidRPr="00041D6B" w:rsidRDefault="0027076E" w:rsidP="0027076E">
            <w:pPr>
              <w:jc w:val="center"/>
            </w:pPr>
            <w:r>
              <w:t>100%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EF246A6" w14:textId="77777777" w:rsidR="0027076E" w:rsidRDefault="0027076E" w:rsidP="0027076E">
            <w:pPr>
              <w:spacing w:line="240" w:lineRule="auto"/>
              <w:jc w:val="center"/>
              <w:rPr>
                <w:rFonts w:eastAsia="Times New Roman"/>
                <w:b/>
                <w:bCs/>
                <w:lang w:val="en-PH" w:eastAsia="en-PH"/>
              </w:rPr>
            </w:pPr>
            <w:r>
              <w:rPr>
                <w:b/>
                <w:bCs/>
              </w:rPr>
              <w:t>26.40%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8D2F43" w14:textId="77777777" w:rsidR="0027076E" w:rsidRPr="00041D6B" w:rsidRDefault="0027076E" w:rsidP="0027076E">
            <w:r>
              <w:t>-73.60%</w:t>
            </w:r>
          </w:p>
        </w:tc>
        <w:tc>
          <w:tcPr>
            <w:tcW w:w="1276" w:type="dxa"/>
            <w:tcBorders>
              <w:top w:val="single" w:sz="4" w:space="0" w:color="auto"/>
              <w:left w:val="single" w:sz="4" w:space="0" w:color="auto"/>
              <w:bottom w:val="single" w:sz="4" w:space="0" w:color="auto"/>
              <w:right w:val="single" w:sz="4" w:space="0" w:color="auto"/>
            </w:tcBorders>
          </w:tcPr>
          <w:p w14:paraId="465AF8FA" w14:textId="77777777" w:rsidR="0027076E" w:rsidRPr="00041D6B" w:rsidRDefault="0027076E" w:rsidP="0027076E">
            <w:r>
              <w:t>Major Deviation</w:t>
            </w:r>
          </w:p>
        </w:tc>
        <w:tc>
          <w:tcPr>
            <w:tcW w:w="1984" w:type="dxa"/>
            <w:tcBorders>
              <w:top w:val="single" w:sz="4" w:space="0" w:color="auto"/>
              <w:left w:val="single" w:sz="4" w:space="0" w:color="auto"/>
              <w:bottom w:val="single" w:sz="4" w:space="0" w:color="auto"/>
            </w:tcBorders>
          </w:tcPr>
          <w:p w14:paraId="2B0E6E48" w14:textId="77777777" w:rsidR="0027076E" w:rsidRPr="00041D6B" w:rsidRDefault="0027076E" w:rsidP="0027076E">
            <w:pPr>
              <w:pStyle w:val="NoSpacing"/>
            </w:pPr>
          </w:p>
        </w:tc>
      </w:tr>
      <w:tr w:rsidR="0027076E" w:rsidRPr="00B64A59" w14:paraId="2E0258EB"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7921845D" w14:textId="77777777" w:rsidR="0027076E" w:rsidRPr="00041D6B" w:rsidRDefault="0027076E" w:rsidP="0027076E">
            <w:pPr>
              <w:rPr>
                <w:color w:val="000000"/>
              </w:rPr>
            </w:pPr>
            <w:r w:rsidRPr="00041D6B">
              <w:rPr>
                <w:color w:val="000000"/>
              </w:rPr>
              <w:t>Total Amount Liquidated</w:t>
            </w:r>
          </w:p>
        </w:tc>
        <w:tc>
          <w:tcPr>
            <w:tcW w:w="1543" w:type="dxa"/>
            <w:tcBorders>
              <w:top w:val="single" w:sz="4" w:space="0" w:color="auto"/>
              <w:left w:val="single" w:sz="4" w:space="0" w:color="auto"/>
              <w:bottom w:val="single" w:sz="4" w:space="0" w:color="auto"/>
              <w:right w:val="single" w:sz="4" w:space="0" w:color="auto"/>
            </w:tcBorders>
          </w:tcPr>
          <w:p w14:paraId="15DFCE1C" w14:textId="77777777" w:rsidR="0027076E" w:rsidRPr="00041D6B" w:rsidRDefault="0027076E" w:rsidP="0027076E">
            <w:pPr>
              <w:jc w:val="center"/>
            </w:pPr>
          </w:p>
        </w:tc>
        <w:tc>
          <w:tcPr>
            <w:tcW w:w="1842" w:type="dxa"/>
            <w:gridSpan w:val="2"/>
            <w:tcBorders>
              <w:top w:val="nil"/>
              <w:left w:val="single" w:sz="4" w:space="0" w:color="000000"/>
              <w:bottom w:val="single" w:sz="4" w:space="0" w:color="000000"/>
              <w:right w:val="single" w:sz="4" w:space="0" w:color="000000"/>
            </w:tcBorders>
            <w:shd w:val="clear" w:color="auto" w:fill="FFFFFF" w:themeFill="background1"/>
          </w:tcPr>
          <w:p w14:paraId="45F2D86C" w14:textId="77777777" w:rsidR="0027076E" w:rsidRDefault="0027076E" w:rsidP="0027076E">
            <w:pPr>
              <w:jc w:val="center"/>
            </w:pPr>
            <w:r>
              <w:t>21,857,773.94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656F52" w14:textId="77777777" w:rsidR="0027076E" w:rsidRPr="00041D6B" w:rsidRDefault="0027076E" w:rsidP="0027076E"/>
        </w:tc>
        <w:tc>
          <w:tcPr>
            <w:tcW w:w="1276" w:type="dxa"/>
            <w:tcBorders>
              <w:top w:val="single" w:sz="4" w:space="0" w:color="auto"/>
              <w:left w:val="single" w:sz="4" w:space="0" w:color="auto"/>
              <w:bottom w:val="single" w:sz="4" w:space="0" w:color="auto"/>
              <w:right w:val="single" w:sz="4" w:space="0" w:color="auto"/>
            </w:tcBorders>
          </w:tcPr>
          <w:p w14:paraId="1E6C463A" w14:textId="77777777" w:rsidR="0027076E" w:rsidRPr="00041D6B" w:rsidRDefault="0027076E" w:rsidP="0027076E"/>
        </w:tc>
        <w:tc>
          <w:tcPr>
            <w:tcW w:w="1984" w:type="dxa"/>
            <w:tcBorders>
              <w:top w:val="single" w:sz="4" w:space="0" w:color="auto"/>
              <w:left w:val="single" w:sz="4" w:space="0" w:color="auto"/>
              <w:bottom w:val="single" w:sz="4" w:space="0" w:color="auto"/>
            </w:tcBorders>
          </w:tcPr>
          <w:p w14:paraId="3ACEE3B5" w14:textId="77777777" w:rsidR="0027076E" w:rsidRPr="00041D6B" w:rsidRDefault="0027076E" w:rsidP="0027076E">
            <w:pPr>
              <w:pStyle w:val="NoSpacing"/>
            </w:pPr>
          </w:p>
        </w:tc>
      </w:tr>
      <w:tr w:rsidR="0027076E" w:rsidRPr="00B64A59" w14:paraId="4BCF4811"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2B19F1C2" w14:textId="77777777" w:rsidR="0027076E" w:rsidRPr="00041D6B" w:rsidRDefault="0027076E" w:rsidP="0027076E">
            <w:pPr>
              <w:rPr>
                <w:color w:val="000000"/>
              </w:rPr>
            </w:pPr>
            <w:r w:rsidRPr="00041D6B">
              <w:rPr>
                <w:color w:val="000000"/>
              </w:rPr>
              <w:t>Total Cash fund transferred</w:t>
            </w:r>
          </w:p>
        </w:tc>
        <w:tc>
          <w:tcPr>
            <w:tcW w:w="1543" w:type="dxa"/>
            <w:tcBorders>
              <w:top w:val="single" w:sz="4" w:space="0" w:color="auto"/>
              <w:left w:val="single" w:sz="4" w:space="0" w:color="auto"/>
              <w:bottom w:val="single" w:sz="4" w:space="0" w:color="auto"/>
              <w:right w:val="single" w:sz="4" w:space="0" w:color="auto"/>
            </w:tcBorders>
          </w:tcPr>
          <w:p w14:paraId="1D5C76C5" w14:textId="77777777" w:rsidR="0027076E" w:rsidRPr="00041D6B" w:rsidRDefault="0027076E" w:rsidP="0027076E">
            <w:pPr>
              <w:jc w:val="center"/>
            </w:pPr>
          </w:p>
        </w:tc>
        <w:tc>
          <w:tcPr>
            <w:tcW w:w="1842" w:type="dxa"/>
            <w:gridSpan w:val="2"/>
            <w:tcBorders>
              <w:top w:val="nil"/>
              <w:left w:val="single" w:sz="4" w:space="0" w:color="000000"/>
              <w:bottom w:val="single" w:sz="4" w:space="0" w:color="000000"/>
              <w:right w:val="single" w:sz="4" w:space="0" w:color="000000"/>
            </w:tcBorders>
            <w:shd w:val="clear" w:color="auto" w:fill="FFFFFF" w:themeFill="background1"/>
          </w:tcPr>
          <w:p w14:paraId="7F452E7E" w14:textId="77777777" w:rsidR="0027076E" w:rsidRDefault="0027076E" w:rsidP="0027076E">
            <w:pPr>
              <w:jc w:val="center"/>
            </w:pPr>
            <w:r>
              <w:t>82,794,166.40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158A31" w14:textId="77777777" w:rsidR="0027076E" w:rsidRPr="00041D6B" w:rsidRDefault="0027076E" w:rsidP="0027076E"/>
        </w:tc>
        <w:tc>
          <w:tcPr>
            <w:tcW w:w="1276" w:type="dxa"/>
            <w:tcBorders>
              <w:top w:val="single" w:sz="4" w:space="0" w:color="auto"/>
              <w:left w:val="single" w:sz="4" w:space="0" w:color="auto"/>
              <w:bottom w:val="single" w:sz="4" w:space="0" w:color="auto"/>
              <w:right w:val="single" w:sz="4" w:space="0" w:color="auto"/>
            </w:tcBorders>
          </w:tcPr>
          <w:p w14:paraId="01633B5E" w14:textId="77777777" w:rsidR="0027076E" w:rsidRPr="00041D6B" w:rsidRDefault="0027076E" w:rsidP="0027076E"/>
        </w:tc>
        <w:tc>
          <w:tcPr>
            <w:tcW w:w="1984" w:type="dxa"/>
            <w:tcBorders>
              <w:top w:val="single" w:sz="4" w:space="0" w:color="auto"/>
              <w:left w:val="single" w:sz="4" w:space="0" w:color="auto"/>
              <w:bottom w:val="single" w:sz="4" w:space="0" w:color="auto"/>
            </w:tcBorders>
          </w:tcPr>
          <w:p w14:paraId="56E93627" w14:textId="77777777" w:rsidR="0027076E" w:rsidRPr="00041D6B" w:rsidRDefault="0027076E" w:rsidP="0027076E">
            <w:pPr>
              <w:pStyle w:val="NoSpacing"/>
            </w:pPr>
          </w:p>
        </w:tc>
      </w:tr>
      <w:tr w:rsidR="0027076E" w:rsidRPr="00B64A59" w14:paraId="5CD7E98E"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6A0C8792" w14:textId="77777777" w:rsidR="0027076E" w:rsidRPr="00041D6B" w:rsidRDefault="0027076E" w:rsidP="0027076E">
            <w:pPr>
              <w:rPr>
                <w:color w:val="000000"/>
              </w:rPr>
            </w:pPr>
            <w:r w:rsidRPr="00041D6B">
              <w:rPr>
                <w:color w:val="000000"/>
              </w:rPr>
              <w:t>c.2 Prior Years</w:t>
            </w:r>
          </w:p>
        </w:tc>
        <w:tc>
          <w:tcPr>
            <w:tcW w:w="1543" w:type="dxa"/>
            <w:tcBorders>
              <w:top w:val="single" w:sz="4" w:space="0" w:color="auto"/>
              <w:left w:val="single" w:sz="4" w:space="0" w:color="auto"/>
              <w:bottom w:val="single" w:sz="4" w:space="0" w:color="auto"/>
              <w:right w:val="single" w:sz="4" w:space="0" w:color="auto"/>
            </w:tcBorders>
          </w:tcPr>
          <w:p w14:paraId="7DB9CC3E" w14:textId="77777777" w:rsidR="0027076E" w:rsidRPr="00041D6B" w:rsidRDefault="0027076E" w:rsidP="0027076E">
            <w:pPr>
              <w:jc w:val="center"/>
            </w:pPr>
            <w:r>
              <w:t>100%</w:t>
            </w:r>
          </w:p>
        </w:tc>
        <w:tc>
          <w:tcPr>
            <w:tcW w:w="1842" w:type="dxa"/>
            <w:gridSpan w:val="2"/>
            <w:tcBorders>
              <w:top w:val="nil"/>
              <w:left w:val="single" w:sz="4" w:space="0" w:color="000000"/>
              <w:bottom w:val="single" w:sz="4" w:space="0" w:color="000000"/>
              <w:right w:val="single" w:sz="4" w:space="0" w:color="000000"/>
            </w:tcBorders>
            <w:shd w:val="clear" w:color="auto" w:fill="FFFFFF" w:themeFill="background1"/>
          </w:tcPr>
          <w:p w14:paraId="5BDD6F6B" w14:textId="77777777" w:rsidR="0027076E" w:rsidRDefault="0027076E" w:rsidP="0027076E">
            <w:pPr>
              <w:jc w:val="center"/>
              <w:rPr>
                <w:b/>
                <w:bCs/>
              </w:rPr>
            </w:pPr>
            <w:r>
              <w:rPr>
                <w:b/>
                <w:bCs/>
              </w:rPr>
              <w:t>90.07%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083050" w14:textId="77777777" w:rsidR="0027076E" w:rsidRPr="00041D6B" w:rsidRDefault="0027076E" w:rsidP="0027076E">
            <w:r>
              <w:t>-9.93%</w:t>
            </w:r>
          </w:p>
        </w:tc>
        <w:tc>
          <w:tcPr>
            <w:tcW w:w="1276" w:type="dxa"/>
            <w:tcBorders>
              <w:top w:val="single" w:sz="4" w:space="0" w:color="auto"/>
              <w:left w:val="single" w:sz="4" w:space="0" w:color="auto"/>
              <w:bottom w:val="single" w:sz="4" w:space="0" w:color="auto"/>
              <w:right w:val="single" w:sz="4" w:space="0" w:color="auto"/>
            </w:tcBorders>
          </w:tcPr>
          <w:p w14:paraId="2A32621A" w14:textId="77777777" w:rsidR="0027076E" w:rsidRPr="00041D6B" w:rsidRDefault="0027076E" w:rsidP="0027076E">
            <w:r>
              <w:t>Minor Deviation</w:t>
            </w:r>
          </w:p>
        </w:tc>
        <w:tc>
          <w:tcPr>
            <w:tcW w:w="1984" w:type="dxa"/>
            <w:tcBorders>
              <w:top w:val="single" w:sz="4" w:space="0" w:color="auto"/>
              <w:left w:val="single" w:sz="4" w:space="0" w:color="auto"/>
              <w:bottom w:val="single" w:sz="4" w:space="0" w:color="auto"/>
            </w:tcBorders>
          </w:tcPr>
          <w:p w14:paraId="69EA4EA4" w14:textId="77777777" w:rsidR="0027076E" w:rsidRPr="00041D6B" w:rsidRDefault="0027076E" w:rsidP="0027076E">
            <w:pPr>
              <w:pStyle w:val="NoSpacing"/>
            </w:pPr>
          </w:p>
        </w:tc>
      </w:tr>
      <w:tr w:rsidR="0027076E" w:rsidRPr="00B64A59" w14:paraId="239C0C0B"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6227CFB7" w14:textId="77777777" w:rsidR="0027076E" w:rsidRPr="00041D6B" w:rsidRDefault="0027076E" w:rsidP="0027076E">
            <w:pPr>
              <w:rPr>
                <w:color w:val="000000"/>
              </w:rPr>
            </w:pPr>
            <w:r w:rsidRPr="00041D6B">
              <w:rPr>
                <w:color w:val="000000"/>
              </w:rPr>
              <w:t>Total Amount Liquidated</w:t>
            </w:r>
          </w:p>
        </w:tc>
        <w:tc>
          <w:tcPr>
            <w:tcW w:w="1543" w:type="dxa"/>
            <w:tcBorders>
              <w:top w:val="single" w:sz="4" w:space="0" w:color="auto"/>
              <w:left w:val="single" w:sz="4" w:space="0" w:color="auto"/>
              <w:bottom w:val="single" w:sz="4" w:space="0" w:color="auto"/>
              <w:right w:val="single" w:sz="4" w:space="0" w:color="auto"/>
            </w:tcBorders>
          </w:tcPr>
          <w:p w14:paraId="2C58853C" w14:textId="77777777" w:rsidR="0027076E" w:rsidRPr="00041D6B" w:rsidRDefault="0027076E" w:rsidP="0027076E">
            <w:pPr>
              <w:jc w:val="center"/>
            </w:pPr>
          </w:p>
        </w:tc>
        <w:tc>
          <w:tcPr>
            <w:tcW w:w="1842" w:type="dxa"/>
            <w:gridSpan w:val="2"/>
            <w:tcBorders>
              <w:top w:val="nil"/>
              <w:left w:val="single" w:sz="4" w:space="0" w:color="000000"/>
              <w:bottom w:val="single" w:sz="4" w:space="0" w:color="000000"/>
              <w:right w:val="single" w:sz="4" w:space="0" w:color="000000"/>
            </w:tcBorders>
            <w:shd w:val="clear" w:color="auto" w:fill="FFFFFF" w:themeFill="background1"/>
          </w:tcPr>
          <w:p w14:paraId="5AFC1BE6" w14:textId="77777777" w:rsidR="0027076E" w:rsidRDefault="0027076E" w:rsidP="0027076E">
            <w:pPr>
              <w:jc w:val="center"/>
            </w:pPr>
            <w:r>
              <w:t>203,937,529.85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C71CE0" w14:textId="77777777" w:rsidR="0027076E" w:rsidRPr="00041D6B" w:rsidRDefault="0027076E" w:rsidP="0027076E"/>
        </w:tc>
        <w:tc>
          <w:tcPr>
            <w:tcW w:w="1276" w:type="dxa"/>
            <w:tcBorders>
              <w:top w:val="single" w:sz="4" w:space="0" w:color="auto"/>
              <w:left w:val="single" w:sz="4" w:space="0" w:color="auto"/>
              <w:bottom w:val="single" w:sz="4" w:space="0" w:color="auto"/>
              <w:right w:val="single" w:sz="4" w:space="0" w:color="auto"/>
            </w:tcBorders>
          </w:tcPr>
          <w:p w14:paraId="35AB7A71" w14:textId="77777777" w:rsidR="0027076E" w:rsidRPr="00041D6B" w:rsidRDefault="0027076E" w:rsidP="0027076E"/>
        </w:tc>
        <w:tc>
          <w:tcPr>
            <w:tcW w:w="1984" w:type="dxa"/>
            <w:tcBorders>
              <w:top w:val="single" w:sz="4" w:space="0" w:color="auto"/>
              <w:left w:val="single" w:sz="4" w:space="0" w:color="auto"/>
              <w:bottom w:val="single" w:sz="4" w:space="0" w:color="auto"/>
            </w:tcBorders>
          </w:tcPr>
          <w:p w14:paraId="0E851C51" w14:textId="77777777" w:rsidR="0027076E" w:rsidRPr="00041D6B" w:rsidRDefault="0027076E" w:rsidP="0027076E">
            <w:pPr>
              <w:pStyle w:val="NoSpacing"/>
            </w:pPr>
          </w:p>
        </w:tc>
      </w:tr>
      <w:tr w:rsidR="0027076E" w:rsidRPr="00B64A59" w14:paraId="229A1BFA"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3486D9D0" w14:textId="77777777" w:rsidR="0027076E" w:rsidRPr="00041D6B" w:rsidRDefault="0027076E" w:rsidP="0027076E">
            <w:pPr>
              <w:rPr>
                <w:color w:val="000000"/>
              </w:rPr>
            </w:pPr>
            <w:r w:rsidRPr="00041D6B">
              <w:rPr>
                <w:color w:val="000000"/>
              </w:rPr>
              <w:t>Total Cash fund transferred</w:t>
            </w:r>
          </w:p>
        </w:tc>
        <w:tc>
          <w:tcPr>
            <w:tcW w:w="1543" w:type="dxa"/>
            <w:tcBorders>
              <w:top w:val="single" w:sz="4" w:space="0" w:color="auto"/>
              <w:left w:val="single" w:sz="4" w:space="0" w:color="auto"/>
              <w:bottom w:val="single" w:sz="4" w:space="0" w:color="auto"/>
              <w:right w:val="single" w:sz="4" w:space="0" w:color="auto"/>
            </w:tcBorders>
          </w:tcPr>
          <w:p w14:paraId="345ED5E8" w14:textId="77777777" w:rsidR="0027076E" w:rsidRPr="00041D6B" w:rsidRDefault="0027076E" w:rsidP="0027076E">
            <w:pPr>
              <w:jc w:val="center"/>
            </w:pPr>
          </w:p>
        </w:tc>
        <w:tc>
          <w:tcPr>
            <w:tcW w:w="1842" w:type="dxa"/>
            <w:gridSpan w:val="2"/>
            <w:tcBorders>
              <w:top w:val="nil"/>
              <w:left w:val="single" w:sz="4" w:space="0" w:color="000000"/>
              <w:bottom w:val="single" w:sz="4" w:space="0" w:color="000000"/>
              <w:right w:val="single" w:sz="4" w:space="0" w:color="000000"/>
            </w:tcBorders>
            <w:shd w:val="clear" w:color="auto" w:fill="FFFFFF" w:themeFill="background1"/>
          </w:tcPr>
          <w:p w14:paraId="3540FADA" w14:textId="77777777" w:rsidR="0027076E" w:rsidRDefault="0027076E" w:rsidP="0027076E">
            <w:pPr>
              <w:jc w:val="center"/>
            </w:pPr>
            <w:r>
              <w:t>226,408,841.06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E4414F" w14:textId="77777777" w:rsidR="0027076E" w:rsidRPr="00041D6B" w:rsidRDefault="0027076E" w:rsidP="0027076E"/>
        </w:tc>
        <w:tc>
          <w:tcPr>
            <w:tcW w:w="1276" w:type="dxa"/>
            <w:tcBorders>
              <w:top w:val="single" w:sz="4" w:space="0" w:color="auto"/>
              <w:left w:val="single" w:sz="4" w:space="0" w:color="auto"/>
              <w:bottom w:val="single" w:sz="4" w:space="0" w:color="auto"/>
              <w:right w:val="single" w:sz="4" w:space="0" w:color="auto"/>
            </w:tcBorders>
          </w:tcPr>
          <w:p w14:paraId="07AA2B73" w14:textId="77777777" w:rsidR="0027076E" w:rsidRPr="00041D6B" w:rsidRDefault="0027076E" w:rsidP="0027076E"/>
        </w:tc>
        <w:tc>
          <w:tcPr>
            <w:tcW w:w="1984" w:type="dxa"/>
            <w:tcBorders>
              <w:top w:val="single" w:sz="4" w:space="0" w:color="auto"/>
              <w:left w:val="single" w:sz="4" w:space="0" w:color="auto"/>
              <w:bottom w:val="single" w:sz="4" w:space="0" w:color="auto"/>
            </w:tcBorders>
          </w:tcPr>
          <w:p w14:paraId="265193A6" w14:textId="77777777" w:rsidR="0027076E" w:rsidRPr="00041D6B" w:rsidRDefault="0027076E" w:rsidP="0027076E">
            <w:pPr>
              <w:pStyle w:val="NoSpacing"/>
            </w:pPr>
          </w:p>
        </w:tc>
      </w:tr>
      <w:tr w:rsidR="0027076E" w:rsidRPr="00B64A59" w14:paraId="0515B4C0" w14:textId="77777777" w:rsidTr="00023229">
        <w:trPr>
          <w:trHeight w:val="189"/>
        </w:trPr>
        <w:tc>
          <w:tcPr>
            <w:tcW w:w="2280"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D30030A" w14:textId="77777777" w:rsidR="0027076E" w:rsidRDefault="0027076E" w:rsidP="0027076E">
            <w:pPr>
              <w:rPr>
                <w:color w:val="000000"/>
              </w:rPr>
            </w:pPr>
            <w:r>
              <w:rPr>
                <w:color w:val="000000"/>
              </w:rPr>
              <w:t>7.15. Percentage of AOM responded within the timeline</w:t>
            </w:r>
          </w:p>
        </w:tc>
        <w:tc>
          <w:tcPr>
            <w:tcW w:w="1543" w:type="dxa"/>
            <w:tcBorders>
              <w:top w:val="single" w:sz="4" w:space="0" w:color="auto"/>
              <w:left w:val="single" w:sz="4" w:space="0" w:color="auto"/>
              <w:bottom w:val="single" w:sz="4" w:space="0" w:color="auto"/>
              <w:right w:val="single" w:sz="4" w:space="0" w:color="auto"/>
            </w:tcBorders>
          </w:tcPr>
          <w:p w14:paraId="05F15979" w14:textId="77777777" w:rsidR="0027076E" w:rsidRPr="00041D6B" w:rsidRDefault="0027076E" w:rsidP="0027076E">
            <w:pPr>
              <w:jc w:val="center"/>
            </w:pPr>
            <w:r>
              <w:t>ANA</w:t>
            </w:r>
          </w:p>
        </w:tc>
        <w:tc>
          <w:tcPr>
            <w:tcW w:w="1842"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17022B56" w14:textId="77777777" w:rsidR="0027076E" w:rsidRDefault="0027076E" w:rsidP="0027076E">
            <w:pPr>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53472" w14:textId="77777777" w:rsidR="0027076E" w:rsidRPr="00041D6B" w:rsidRDefault="0027076E" w:rsidP="0027076E">
            <w:r>
              <w:t>100%</w:t>
            </w:r>
          </w:p>
        </w:tc>
        <w:tc>
          <w:tcPr>
            <w:tcW w:w="1276" w:type="dxa"/>
            <w:tcBorders>
              <w:top w:val="single" w:sz="4" w:space="0" w:color="auto"/>
              <w:left w:val="single" w:sz="4" w:space="0" w:color="auto"/>
              <w:bottom w:val="single" w:sz="4" w:space="0" w:color="auto"/>
              <w:right w:val="single" w:sz="4" w:space="0" w:color="auto"/>
            </w:tcBorders>
          </w:tcPr>
          <w:p w14:paraId="7EF9C7B6" w14:textId="77777777" w:rsidR="0027076E" w:rsidRPr="00041D6B" w:rsidRDefault="0027076E" w:rsidP="0027076E">
            <w:r>
              <w:t xml:space="preserve">Full Target Achieved </w:t>
            </w:r>
          </w:p>
        </w:tc>
        <w:tc>
          <w:tcPr>
            <w:tcW w:w="1984" w:type="dxa"/>
            <w:tcBorders>
              <w:top w:val="single" w:sz="4" w:space="0" w:color="auto"/>
              <w:left w:val="single" w:sz="4" w:space="0" w:color="auto"/>
              <w:bottom w:val="single" w:sz="4" w:space="0" w:color="auto"/>
            </w:tcBorders>
          </w:tcPr>
          <w:p w14:paraId="4F6F8A33" w14:textId="77777777" w:rsidR="0027076E" w:rsidRPr="00041D6B" w:rsidRDefault="0027076E" w:rsidP="0027076E">
            <w:pPr>
              <w:pStyle w:val="NoSpacing"/>
            </w:pPr>
          </w:p>
        </w:tc>
      </w:tr>
      <w:tr w:rsidR="0027076E" w:rsidRPr="00B64A59" w14:paraId="5D217C17"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3E4A5" w14:textId="77777777" w:rsidR="0027076E" w:rsidRPr="00305C57" w:rsidRDefault="0027076E" w:rsidP="0027076E">
            <w:pPr>
              <w:rPr>
                <w:iCs/>
                <w:color w:val="000000"/>
              </w:rPr>
            </w:pPr>
            <w:r w:rsidRPr="00305C57">
              <w:rPr>
                <w:iCs/>
                <w:color w:val="000000"/>
              </w:rPr>
              <w:lastRenderedPageBreak/>
              <w:t>No.of AOM Responded within Timeline</w:t>
            </w:r>
          </w:p>
        </w:tc>
        <w:tc>
          <w:tcPr>
            <w:tcW w:w="1543" w:type="dxa"/>
            <w:tcBorders>
              <w:top w:val="single" w:sz="4" w:space="0" w:color="auto"/>
              <w:left w:val="single" w:sz="4" w:space="0" w:color="auto"/>
              <w:bottom w:val="single" w:sz="4" w:space="0" w:color="auto"/>
              <w:right w:val="single" w:sz="4" w:space="0" w:color="auto"/>
            </w:tcBorders>
          </w:tcPr>
          <w:p w14:paraId="72275EF0" w14:textId="77777777" w:rsidR="0027076E" w:rsidRPr="007A1D3E" w:rsidRDefault="0027076E" w:rsidP="0027076E">
            <w:pPr>
              <w:jc w:val="center"/>
            </w:pPr>
            <w:r>
              <w:t>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720496" w14:textId="77777777" w:rsidR="0027076E" w:rsidRDefault="0027076E" w:rsidP="0027076E">
            <w:pPr>
              <w:jc w:val="center"/>
              <w:rPr>
                <w:color w:val="000000"/>
              </w:rPr>
            </w:pPr>
            <w:r>
              <w:rPr>
                <w:color w:val="000000"/>
              </w:rPr>
              <w:t>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26E1CF" w14:textId="77777777" w:rsidR="0027076E" w:rsidRPr="00041D6B" w:rsidRDefault="0027076E" w:rsidP="0027076E"/>
        </w:tc>
        <w:tc>
          <w:tcPr>
            <w:tcW w:w="1276" w:type="dxa"/>
            <w:tcBorders>
              <w:top w:val="single" w:sz="4" w:space="0" w:color="auto"/>
              <w:left w:val="single" w:sz="4" w:space="0" w:color="auto"/>
              <w:bottom w:val="single" w:sz="4" w:space="0" w:color="auto"/>
              <w:right w:val="single" w:sz="4" w:space="0" w:color="auto"/>
            </w:tcBorders>
          </w:tcPr>
          <w:p w14:paraId="3EB18AA8" w14:textId="77777777" w:rsidR="0027076E" w:rsidRPr="00041D6B" w:rsidRDefault="0027076E" w:rsidP="0027076E"/>
        </w:tc>
        <w:tc>
          <w:tcPr>
            <w:tcW w:w="1984" w:type="dxa"/>
            <w:tcBorders>
              <w:top w:val="single" w:sz="4" w:space="0" w:color="auto"/>
              <w:left w:val="single" w:sz="4" w:space="0" w:color="auto"/>
              <w:bottom w:val="single" w:sz="4" w:space="0" w:color="auto"/>
            </w:tcBorders>
          </w:tcPr>
          <w:p w14:paraId="3C211B4F" w14:textId="77777777" w:rsidR="0027076E" w:rsidRPr="00041D6B" w:rsidRDefault="0027076E" w:rsidP="0027076E">
            <w:pPr>
              <w:pStyle w:val="NoSpacing"/>
            </w:pPr>
          </w:p>
        </w:tc>
      </w:tr>
      <w:tr w:rsidR="0027076E" w:rsidRPr="00B64A59" w14:paraId="363A2744" w14:textId="77777777" w:rsidTr="00023229">
        <w:trPr>
          <w:trHeight w:val="189"/>
        </w:trPr>
        <w:tc>
          <w:tcPr>
            <w:tcW w:w="228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8A268C0" w14:textId="77777777" w:rsidR="0027076E" w:rsidRPr="00305C57" w:rsidRDefault="0027076E" w:rsidP="0027076E">
            <w:pPr>
              <w:rPr>
                <w:iCs/>
                <w:color w:val="000000"/>
              </w:rPr>
            </w:pPr>
            <w:r w:rsidRPr="00305C57">
              <w:rPr>
                <w:iCs/>
                <w:color w:val="000000"/>
              </w:rPr>
              <w:t>Total No.of AOM Received</w:t>
            </w:r>
          </w:p>
        </w:tc>
        <w:tc>
          <w:tcPr>
            <w:tcW w:w="1543" w:type="dxa"/>
            <w:tcBorders>
              <w:top w:val="single" w:sz="4" w:space="0" w:color="auto"/>
              <w:left w:val="single" w:sz="4" w:space="0" w:color="auto"/>
              <w:bottom w:val="single" w:sz="4" w:space="0" w:color="auto"/>
              <w:right w:val="single" w:sz="4" w:space="0" w:color="auto"/>
            </w:tcBorders>
          </w:tcPr>
          <w:p w14:paraId="39998B41" w14:textId="77777777" w:rsidR="0027076E" w:rsidRDefault="0027076E" w:rsidP="0027076E">
            <w:pPr>
              <w:jc w:val="center"/>
            </w:pPr>
            <w:r>
              <w:t>ANA</w:t>
            </w:r>
          </w:p>
        </w:tc>
        <w:tc>
          <w:tcPr>
            <w:tcW w:w="1842"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14:paraId="52801FF8" w14:textId="77777777" w:rsidR="0027076E" w:rsidRDefault="0027076E" w:rsidP="0027076E">
            <w:pPr>
              <w:jc w:val="center"/>
              <w:rPr>
                <w:color w:val="000000"/>
              </w:rPr>
            </w:pPr>
            <w:r>
              <w:rPr>
                <w:color w:val="000000"/>
              </w:rPr>
              <w:t>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574164" w14:textId="77777777" w:rsidR="0027076E" w:rsidRPr="00041D6B" w:rsidRDefault="0027076E" w:rsidP="0027076E"/>
        </w:tc>
        <w:tc>
          <w:tcPr>
            <w:tcW w:w="1276" w:type="dxa"/>
            <w:tcBorders>
              <w:top w:val="single" w:sz="4" w:space="0" w:color="auto"/>
              <w:left w:val="single" w:sz="4" w:space="0" w:color="auto"/>
              <w:bottom w:val="single" w:sz="4" w:space="0" w:color="auto"/>
              <w:right w:val="single" w:sz="4" w:space="0" w:color="auto"/>
            </w:tcBorders>
          </w:tcPr>
          <w:p w14:paraId="66745A10" w14:textId="77777777" w:rsidR="0027076E" w:rsidRPr="00041D6B" w:rsidRDefault="0027076E" w:rsidP="0027076E"/>
        </w:tc>
        <w:tc>
          <w:tcPr>
            <w:tcW w:w="1984" w:type="dxa"/>
            <w:tcBorders>
              <w:top w:val="single" w:sz="4" w:space="0" w:color="auto"/>
              <w:left w:val="single" w:sz="4" w:space="0" w:color="auto"/>
              <w:bottom w:val="single" w:sz="4" w:space="0" w:color="auto"/>
            </w:tcBorders>
          </w:tcPr>
          <w:p w14:paraId="18B0159F" w14:textId="77777777" w:rsidR="0027076E" w:rsidRPr="00041D6B" w:rsidRDefault="0027076E" w:rsidP="0027076E">
            <w:pPr>
              <w:pStyle w:val="NoSpacing"/>
            </w:pPr>
          </w:p>
        </w:tc>
      </w:tr>
      <w:tr w:rsidR="0027076E" w:rsidRPr="00B64A59" w14:paraId="5620D5B0"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70011F83" w14:textId="77777777" w:rsidR="0027076E" w:rsidRDefault="0027076E" w:rsidP="0027076E">
            <w:pPr>
              <w:rPr>
                <w:color w:val="000000"/>
              </w:rPr>
            </w:pPr>
            <w:r>
              <w:rPr>
                <w:color w:val="000000"/>
              </w:rPr>
              <w:t>7.16. Percentage of NS/ND complied within the timeline</w:t>
            </w:r>
          </w:p>
        </w:tc>
        <w:tc>
          <w:tcPr>
            <w:tcW w:w="1543" w:type="dxa"/>
            <w:tcBorders>
              <w:top w:val="single" w:sz="4" w:space="0" w:color="auto"/>
              <w:left w:val="single" w:sz="4" w:space="0" w:color="auto"/>
              <w:bottom w:val="single" w:sz="4" w:space="0" w:color="auto"/>
              <w:right w:val="single" w:sz="4" w:space="0" w:color="auto"/>
            </w:tcBorders>
          </w:tcPr>
          <w:p w14:paraId="7622CD30" w14:textId="77777777" w:rsidR="0027076E" w:rsidRPr="00041D6B" w:rsidRDefault="0027076E" w:rsidP="0027076E">
            <w:pPr>
              <w:jc w:val="center"/>
            </w:pPr>
            <w:r>
              <w:t>ANA</w:t>
            </w:r>
          </w:p>
        </w:tc>
        <w:tc>
          <w:tcPr>
            <w:tcW w:w="1842" w:type="dxa"/>
            <w:gridSpan w:val="2"/>
            <w:tcBorders>
              <w:top w:val="nil"/>
              <w:left w:val="single" w:sz="4" w:space="0" w:color="000000"/>
              <w:bottom w:val="single" w:sz="4" w:space="0" w:color="000000"/>
              <w:right w:val="single" w:sz="4" w:space="0" w:color="000000"/>
            </w:tcBorders>
            <w:shd w:val="clear" w:color="auto" w:fill="FFFFFF" w:themeFill="background1"/>
          </w:tcPr>
          <w:p w14:paraId="30269A28" w14:textId="77777777" w:rsidR="0027076E" w:rsidRDefault="0027076E" w:rsidP="0027076E">
            <w:pPr>
              <w:jc w:val="center"/>
              <w:rPr>
                <w:color w:val="000000"/>
              </w:rPr>
            </w:pPr>
            <w:r>
              <w:rPr>
                <w:color w:val="000000"/>
              </w:rPr>
              <w:t>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4C3C7" w14:textId="77777777" w:rsidR="0027076E" w:rsidRPr="00041D6B" w:rsidRDefault="0027076E" w:rsidP="0027076E">
            <w:r>
              <w:t>-4%</w:t>
            </w:r>
          </w:p>
        </w:tc>
        <w:tc>
          <w:tcPr>
            <w:tcW w:w="1276" w:type="dxa"/>
            <w:tcBorders>
              <w:top w:val="single" w:sz="4" w:space="0" w:color="auto"/>
              <w:left w:val="single" w:sz="4" w:space="0" w:color="auto"/>
              <w:bottom w:val="single" w:sz="4" w:space="0" w:color="auto"/>
              <w:right w:val="single" w:sz="4" w:space="0" w:color="auto"/>
            </w:tcBorders>
          </w:tcPr>
          <w:p w14:paraId="70077B90" w14:textId="77777777" w:rsidR="0027076E" w:rsidRPr="00041D6B" w:rsidRDefault="0027076E" w:rsidP="0027076E">
            <w:r>
              <w:t>Minor Deviation</w:t>
            </w:r>
          </w:p>
        </w:tc>
        <w:tc>
          <w:tcPr>
            <w:tcW w:w="1984" w:type="dxa"/>
            <w:tcBorders>
              <w:top w:val="single" w:sz="4" w:space="0" w:color="auto"/>
              <w:left w:val="single" w:sz="4" w:space="0" w:color="auto"/>
              <w:bottom w:val="single" w:sz="4" w:space="0" w:color="auto"/>
            </w:tcBorders>
          </w:tcPr>
          <w:p w14:paraId="6A1C2E15" w14:textId="77777777" w:rsidR="0027076E" w:rsidRPr="00041D6B" w:rsidRDefault="0027076E" w:rsidP="0027076E">
            <w:pPr>
              <w:pStyle w:val="NoSpacing"/>
            </w:pPr>
          </w:p>
        </w:tc>
      </w:tr>
      <w:tr w:rsidR="0027076E" w:rsidRPr="00B64A59" w14:paraId="0AF38D30" w14:textId="77777777" w:rsidTr="00023229">
        <w:trPr>
          <w:trHeight w:val="189"/>
        </w:trPr>
        <w:tc>
          <w:tcPr>
            <w:tcW w:w="2280" w:type="dxa"/>
            <w:tcBorders>
              <w:top w:val="nil"/>
              <w:left w:val="single" w:sz="4" w:space="0" w:color="000000"/>
              <w:bottom w:val="single" w:sz="4" w:space="0" w:color="auto"/>
              <w:right w:val="single" w:sz="4" w:space="0" w:color="000000"/>
            </w:tcBorders>
            <w:shd w:val="clear" w:color="auto" w:fill="FFFFFF" w:themeFill="background1"/>
          </w:tcPr>
          <w:p w14:paraId="44B296A8" w14:textId="77777777" w:rsidR="0027076E" w:rsidRDefault="0027076E" w:rsidP="0027076E">
            <w:pPr>
              <w:rPr>
                <w:color w:val="000000"/>
              </w:rPr>
            </w:pPr>
            <w:r>
              <w:rPr>
                <w:color w:val="000000"/>
              </w:rPr>
              <w:t>No. of Notice of Suspension/Notice of Disallowances Responded within Timeline</w:t>
            </w:r>
          </w:p>
        </w:tc>
        <w:tc>
          <w:tcPr>
            <w:tcW w:w="1543" w:type="dxa"/>
            <w:tcBorders>
              <w:top w:val="single" w:sz="4" w:space="0" w:color="auto"/>
              <w:left w:val="single" w:sz="4" w:space="0" w:color="auto"/>
              <w:bottom w:val="single" w:sz="4" w:space="0" w:color="auto"/>
              <w:right w:val="single" w:sz="4" w:space="0" w:color="auto"/>
            </w:tcBorders>
          </w:tcPr>
          <w:p w14:paraId="124A7D15" w14:textId="77777777" w:rsidR="0027076E" w:rsidRPr="00041D6B" w:rsidRDefault="0027076E" w:rsidP="0027076E">
            <w:pPr>
              <w:jc w:val="center"/>
            </w:pPr>
            <w:r>
              <w:t>ANA</w:t>
            </w:r>
          </w:p>
        </w:tc>
        <w:tc>
          <w:tcPr>
            <w:tcW w:w="1842" w:type="dxa"/>
            <w:gridSpan w:val="2"/>
            <w:tcBorders>
              <w:top w:val="nil"/>
              <w:left w:val="single" w:sz="4" w:space="0" w:color="000000"/>
              <w:bottom w:val="single" w:sz="4" w:space="0" w:color="auto"/>
              <w:right w:val="single" w:sz="4" w:space="0" w:color="000000"/>
            </w:tcBorders>
            <w:shd w:val="clear" w:color="auto" w:fill="FFFFFF" w:themeFill="background1"/>
          </w:tcPr>
          <w:p w14:paraId="4EAD3E22" w14:textId="77777777" w:rsidR="0027076E" w:rsidRDefault="0027076E" w:rsidP="0027076E">
            <w:pPr>
              <w:jc w:val="center"/>
              <w:rPr>
                <w:color w:val="000000"/>
              </w:rPr>
            </w:pPr>
            <w:r>
              <w:rPr>
                <w:color w:val="00000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357E55" w14:textId="77777777" w:rsidR="0027076E" w:rsidRPr="00041D6B" w:rsidRDefault="0027076E" w:rsidP="0027076E"/>
        </w:tc>
        <w:tc>
          <w:tcPr>
            <w:tcW w:w="1276" w:type="dxa"/>
            <w:tcBorders>
              <w:top w:val="single" w:sz="4" w:space="0" w:color="auto"/>
              <w:left w:val="single" w:sz="4" w:space="0" w:color="auto"/>
              <w:bottom w:val="single" w:sz="4" w:space="0" w:color="auto"/>
              <w:right w:val="single" w:sz="4" w:space="0" w:color="auto"/>
            </w:tcBorders>
          </w:tcPr>
          <w:p w14:paraId="0A3C76DF" w14:textId="77777777" w:rsidR="0027076E" w:rsidRPr="00041D6B" w:rsidRDefault="0027076E" w:rsidP="0027076E"/>
        </w:tc>
        <w:tc>
          <w:tcPr>
            <w:tcW w:w="1984" w:type="dxa"/>
            <w:tcBorders>
              <w:top w:val="single" w:sz="4" w:space="0" w:color="auto"/>
              <w:left w:val="single" w:sz="4" w:space="0" w:color="auto"/>
              <w:bottom w:val="single" w:sz="4" w:space="0" w:color="auto"/>
            </w:tcBorders>
          </w:tcPr>
          <w:p w14:paraId="4CA90361" w14:textId="77777777" w:rsidR="0027076E" w:rsidRPr="00041D6B" w:rsidRDefault="0027076E" w:rsidP="0027076E">
            <w:pPr>
              <w:pStyle w:val="NoSpacing"/>
            </w:pPr>
          </w:p>
        </w:tc>
      </w:tr>
      <w:tr w:rsidR="0027076E" w:rsidRPr="00B64A59" w14:paraId="046C8A98" w14:textId="77777777" w:rsidTr="00023229">
        <w:trPr>
          <w:trHeight w:val="189"/>
        </w:trPr>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3C7C21F6" w14:textId="77777777" w:rsidR="0027076E" w:rsidRDefault="0027076E" w:rsidP="0027076E">
            <w:pPr>
              <w:rPr>
                <w:color w:val="000000"/>
              </w:rPr>
            </w:pPr>
            <w:r>
              <w:rPr>
                <w:color w:val="000000"/>
              </w:rPr>
              <w:t>No. of Notice of Suspension/Notice of Disallowances Received</w:t>
            </w:r>
          </w:p>
        </w:tc>
        <w:tc>
          <w:tcPr>
            <w:tcW w:w="1543" w:type="dxa"/>
            <w:tcBorders>
              <w:top w:val="single" w:sz="4" w:space="0" w:color="auto"/>
              <w:left w:val="single" w:sz="4" w:space="0" w:color="auto"/>
              <w:bottom w:val="single" w:sz="4" w:space="0" w:color="auto"/>
              <w:right w:val="single" w:sz="4" w:space="0" w:color="auto"/>
            </w:tcBorders>
          </w:tcPr>
          <w:p w14:paraId="012FA4B3" w14:textId="77777777" w:rsidR="0027076E" w:rsidRPr="00041D6B" w:rsidRDefault="0027076E" w:rsidP="0027076E">
            <w:pPr>
              <w:jc w:val="center"/>
            </w:pPr>
            <w:r>
              <w:t>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1BCE21B3" w14:textId="77777777" w:rsidR="0027076E" w:rsidRPr="00041D6B" w:rsidRDefault="0027076E" w:rsidP="0027076E">
            <w:pPr>
              <w:jc w:val="center"/>
              <w:rPr>
                <w:color w:val="000000"/>
              </w:rPr>
            </w:pPr>
            <w:r>
              <w:rPr>
                <w:color w:val="00000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EF8C1F" w14:textId="77777777" w:rsidR="0027076E" w:rsidRPr="00041D6B" w:rsidRDefault="0027076E" w:rsidP="0027076E"/>
        </w:tc>
        <w:tc>
          <w:tcPr>
            <w:tcW w:w="1276" w:type="dxa"/>
            <w:tcBorders>
              <w:top w:val="single" w:sz="4" w:space="0" w:color="auto"/>
              <w:left w:val="single" w:sz="4" w:space="0" w:color="auto"/>
              <w:bottom w:val="single" w:sz="4" w:space="0" w:color="auto"/>
              <w:right w:val="single" w:sz="4" w:space="0" w:color="auto"/>
            </w:tcBorders>
          </w:tcPr>
          <w:p w14:paraId="79DF5A29" w14:textId="77777777" w:rsidR="0027076E" w:rsidRPr="00041D6B" w:rsidRDefault="0027076E" w:rsidP="0027076E"/>
        </w:tc>
        <w:tc>
          <w:tcPr>
            <w:tcW w:w="1984" w:type="dxa"/>
            <w:tcBorders>
              <w:top w:val="single" w:sz="4" w:space="0" w:color="auto"/>
              <w:left w:val="single" w:sz="4" w:space="0" w:color="auto"/>
              <w:bottom w:val="single" w:sz="4" w:space="0" w:color="auto"/>
            </w:tcBorders>
          </w:tcPr>
          <w:p w14:paraId="0892D7C6" w14:textId="77777777" w:rsidR="0027076E" w:rsidRPr="00041D6B" w:rsidRDefault="0027076E" w:rsidP="0027076E">
            <w:pPr>
              <w:pStyle w:val="NoSpacing"/>
            </w:pPr>
          </w:p>
        </w:tc>
      </w:tr>
      <w:tr w:rsidR="0027076E" w:rsidRPr="00B64A59" w14:paraId="4C60C8EA" w14:textId="77777777" w:rsidTr="00023229">
        <w:trPr>
          <w:trHeight w:val="189"/>
        </w:trPr>
        <w:tc>
          <w:tcPr>
            <w:tcW w:w="10201" w:type="dxa"/>
            <w:gridSpan w:val="7"/>
            <w:tcBorders>
              <w:top w:val="single" w:sz="4" w:space="0" w:color="auto"/>
              <w:left w:val="single" w:sz="4" w:space="0" w:color="auto"/>
              <w:bottom w:val="single" w:sz="4" w:space="0" w:color="auto"/>
            </w:tcBorders>
            <w:shd w:val="clear" w:color="auto" w:fill="DEEAF6" w:themeFill="accent1" w:themeFillTint="33"/>
          </w:tcPr>
          <w:p w14:paraId="530D9D85" w14:textId="77777777" w:rsidR="0027076E" w:rsidRPr="00305C57" w:rsidRDefault="0027076E" w:rsidP="0027076E">
            <w:pPr>
              <w:pStyle w:val="NoSpacing"/>
              <w:rPr>
                <w:b/>
              </w:rPr>
            </w:pPr>
            <w:r w:rsidRPr="00305C57">
              <w:rPr>
                <w:b/>
                <w:iCs/>
                <w:color w:val="000000"/>
              </w:rPr>
              <w:t>Procurement Services</w:t>
            </w:r>
          </w:p>
        </w:tc>
      </w:tr>
      <w:tr w:rsidR="0027076E" w:rsidRPr="00B64A59" w14:paraId="39B06025" w14:textId="77777777" w:rsidTr="00023229">
        <w:trPr>
          <w:trHeight w:val="189"/>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088B6E" w14:textId="77777777" w:rsidR="0027076E" w:rsidRDefault="0027076E" w:rsidP="0027076E">
            <w:pPr>
              <w:rPr>
                <w:color w:val="000000"/>
              </w:rPr>
            </w:pPr>
            <w:r>
              <w:rPr>
                <w:color w:val="000000"/>
              </w:rPr>
              <w:t>7.17. Percentage of procurement projects completed in accordance with applicable rules and regulations</w:t>
            </w:r>
          </w:p>
        </w:tc>
        <w:tc>
          <w:tcPr>
            <w:tcW w:w="1543" w:type="dxa"/>
            <w:tcBorders>
              <w:top w:val="single" w:sz="4" w:space="0" w:color="auto"/>
              <w:left w:val="single" w:sz="4" w:space="0" w:color="auto"/>
              <w:bottom w:val="single" w:sz="4" w:space="0" w:color="auto"/>
              <w:right w:val="single" w:sz="4" w:space="0" w:color="auto"/>
            </w:tcBorders>
          </w:tcPr>
          <w:p w14:paraId="3AD9CD4F" w14:textId="77777777" w:rsidR="0027076E" w:rsidRPr="00041D6B" w:rsidRDefault="0027076E" w:rsidP="0027076E">
            <w:pPr>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A61B14" w14:textId="77777777" w:rsidR="0027076E" w:rsidRPr="00041D6B" w:rsidRDefault="0027076E" w:rsidP="0027076E">
            <w:pPr>
              <w:jc w:val="center"/>
              <w:rPr>
                <w:color w:val="000000"/>
              </w:rPr>
            </w:pPr>
            <w:r>
              <w:rPr>
                <w:color w:val="000000"/>
              </w:rPr>
              <w:t>21.06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F699DC5" w14:textId="77777777" w:rsidR="0027076E" w:rsidRPr="00041D6B" w:rsidRDefault="0027076E" w:rsidP="0027076E">
            <w:r>
              <w:t>-78.94%</w:t>
            </w:r>
          </w:p>
        </w:tc>
        <w:tc>
          <w:tcPr>
            <w:tcW w:w="1276" w:type="dxa"/>
            <w:tcBorders>
              <w:top w:val="single" w:sz="4" w:space="0" w:color="auto"/>
              <w:left w:val="single" w:sz="4" w:space="0" w:color="auto"/>
              <w:bottom w:val="single" w:sz="4" w:space="0" w:color="auto"/>
              <w:right w:val="single" w:sz="4" w:space="0" w:color="auto"/>
            </w:tcBorders>
          </w:tcPr>
          <w:p w14:paraId="61D63753" w14:textId="77777777" w:rsidR="0027076E" w:rsidRPr="00041D6B" w:rsidRDefault="0027076E" w:rsidP="0027076E">
            <w:r>
              <w:t>Major Deviation</w:t>
            </w:r>
          </w:p>
        </w:tc>
        <w:tc>
          <w:tcPr>
            <w:tcW w:w="1984" w:type="dxa"/>
            <w:tcBorders>
              <w:top w:val="single" w:sz="4" w:space="0" w:color="auto"/>
              <w:left w:val="single" w:sz="4" w:space="0" w:color="auto"/>
              <w:bottom w:val="single" w:sz="4" w:space="0" w:color="auto"/>
            </w:tcBorders>
          </w:tcPr>
          <w:p w14:paraId="72156429" w14:textId="77777777" w:rsidR="0027076E" w:rsidRPr="00041D6B" w:rsidRDefault="0027076E" w:rsidP="0027076E">
            <w:pPr>
              <w:pStyle w:val="NoSpacing"/>
            </w:pPr>
          </w:p>
        </w:tc>
      </w:tr>
      <w:tr w:rsidR="0027076E" w:rsidRPr="00B64A59" w14:paraId="6B0E645F"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3E6550F8" w14:textId="77777777" w:rsidR="0027076E" w:rsidRDefault="0027076E" w:rsidP="0027076E">
            <w:pPr>
              <w:rPr>
                <w:i/>
                <w:iCs/>
                <w:color w:val="000000"/>
              </w:rPr>
            </w:pPr>
            <w:r>
              <w:rPr>
                <w:i/>
                <w:iCs/>
                <w:color w:val="000000"/>
              </w:rPr>
              <w:t>Total No. of PR Received</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4FE018A7" w14:textId="77777777" w:rsidR="0027076E" w:rsidRPr="00041D6B" w:rsidRDefault="0027076E" w:rsidP="0027076E">
            <w:pPr>
              <w:jc w:val="center"/>
              <w:rPr>
                <w:color w:val="000000"/>
              </w:rPr>
            </w:pPr>
            <w:r>
              <w:rPr>
                <w:color w:val="000000"/>
              </w:rP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1EA159" w14:textId="77777777" w:rsidR="0027076E" w:rsidRPr="00041D6B" w:rsidRDefault="0027076E" w:rsidP="0027076E">
            <w:pPr>
              <w:jc w:val="center"/>
              <w:rPr>
                <w:color w:val="000000"/>
              </w:rPr>
            </w:pPr>
            <w:r>
              <w:rPr>
                <w:color w:val="000000"/>
              </w:rPr>
              <w:t>1,282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920B5A4" w14:textId="77777777" w:rsidR="0027076E" w:rsidRPr="00041D6B" w:rsidRDefault="0027076E" w:rsidP="0027076E"/>
        </w:tc>
        <w:tc>
          <w:tcPr>
            <w:tcW w:w="1276" w:type="dxa"/>
            <w:tcBorders>
              <w:top w:val="single" w:sz="4" w:space="0" w:color="auto"/>
              <w:left w:val="single" w:sz="4" w:space="0" w:color="auto"/>
              <w:bottom w:val="single" w:sz="4" w:space="0" w:color="auto"/>
              <w:right w:val="single" w:sz="4" w:space="0" w:color="auto"/>
            </w:tcBorders>
          </w:tcPr>
          <w:p w14:paraId="66E5140A" w14:textId="77777777" w:rsidR="0027076E" w:rsidRPr="00041D6B" w:rsidRDefault="0027076E" w:rsidP="0027076E"/>
        </w:tc>
        <w:tc>
          <w:tcPr>
            <w:tcW w:w="1984" w:type="dxa"/>
            <w:tcBorders>
              <w:top w:val="single" w:sz="4" w:space="0" w:color="auto"/>
              <w:left w:val="single" w:sz="4" w:space="0" w:color="auto"/>
              <w:bottom w:val="single" w:sz="4" w:space="0" w:color="auto"/>
            </w:tcBorders>
          </w:tcPr>
          <w:p w14:paraId="7D3EBE10" w14:textId="77777777" w:rsidR="0027076E" w:rsidRPr="00041D6B" w:rsidRDefault="0027076E" w:rsidP="0027076E">
            <w:pPr>
              <w:pStyle w:val="NoSpacing"/>
            </w:pPr>
          </w:p>
        </w:tc>
      </w:tr>
      <w:tr w:rsidR="0027076E" w:rsidRPr="00B64A59" w14:paraId="16B062A4"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222D7465" w14:textId="77777777" w:rsidR="0027076E" w:rsidRDefault="0027076E" w:rsidP="0027076E">
            <w:pPr>
              <w:rPr>
                <w:i/>
                <w:iCs/>
                <w:color w:val="000000"/>
              </w:rPr>
            </w:pPr>
            <w:r>
              <w:rPr>
                <w:i/>
                <w:iCs/>
                <w:color w:val="000000"/>
              </w:rPr>
              <w:t>No. of PR Processes Awarded and Contracted on Time</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44D6FF1D" w14:textId="77777777" w:rsidR="0027076E" w:rsidRPr="00041D6B" w:rsidRDefault="0027076E" w:rsidP="0027076E">
            <w:pPr>
              <w:jc w:val="center"/>
              <w:rPr>
                <w:color w:val="000000"/>
              </w:rPr>
            </w:pPr>
            <w:r>
              <w:rPr>
                <w:color w:val="000000"/>
              </w:rPr>
              <w:t>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05CCC3" w14:textId="77777777" w:rsidR="0027076E" w:rsidRPr="00041D6B" w:rsidRDefault="0027076E" w:rsidP="0027076E">
            <w:pPr>
              <w:jc w:val="center"/>
              <w:rPr>
                <w:color w:val="000000"/>
              </w:rPr>
            </w:pPr>
            <w:r>
              <w:rPr>
                <w:color w:val="000000"/>
              </w:rPr>
              <w:t>135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48D046C" w14:textId="77777777" w:rsidR="0027076E" w:rsidRPr="00041D6B" w:rsidRDefault="0027076E" w:rsidP="0027076E"/>
        </w:tc>
        <w:tc>
          <w:tcPr>
            <w:tcW w:w="1276" w:type="dxa"/>
            <w:tcBorders>
              <w:top w:val="single" w:sz="4" w:space="0" w:color="auto"/>
              <w:left w:val="single" w:sz="4" w:space="0" w:color="auto"/>
              <w:bottom w:val="single" w:sz="4" w:space="0" w:color="auto"/>
              <w:right w:val="single" w:sz="4" w:space="0" w:color="auto"/>
            </w:tcBorders>
          </w:tcPr>
          <w:p w14:paraId="30EF63D3" w14:textId="77777777" w:rsidR="0027076E" w:rsidRPr="00041D6B" w:rsidRDefault="0027076E" w:rsidP="0027076E"/>
        </w:tc>
        <w:tc>
          <w:tcPr>
            <w:tcW w:w="1984" w:type="dxa"/>
            <w:tcBorders>
              <w:top w:val="single" w:sz="4" w:space="0" w:color="auto"/>
              <w:left w:val="single" w:sz="4" w:space="0" w:color="auto"/>
              <w:bottom w:val="single" w:sz="4" w:space="0" w:color="auto"/>
            </w:tcBorders>
          </w:tcPr>
          <w:p w14:paraId="6AD55F28" w14:textId="77777777" w:rsidR="0027076E" w:rsidRPr="00041D6B" w:rsidRDefault="0027076E" w:rsidP="0027076E">
            <w:pPr>
              <w:pStyle w:val="NoSpacing"/>
            </w:pPr>
          </w:p>
        </w:tc>
      </w:tr>
      <w:tr w:rsidR="0027076E" w:rsidRPr="00B64A59" w14:paraId="7A0A82BD"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07C4F0A5" w14:textId="77777777" w:rsidR="0027076E" w:rsidRDefault="0027076E" w:rsidP="0027076E">
            <w:pPr>
              <w:rPr>
                <w:color w:val="000000"/>
              </w:rPr>
            </w:pPr>
            <w:r>
              <w:rPr>
                <w:color w:val="000000"/>
              </w:rPr>
              <w:t>7.18. Percentage compliance with reportorial requirements for oversight agencies</w:t>
            </w:r>
          </w:p>
        </w:tc>
        <w:tc>
          <w:tcPr>
            <w:tcW w:w="1543" w:type="dxa"/>
            <w:tcBorders>
              <w:top w:val="single" w:sz="4" w:space="0" w:color="auto"/>
              <w:left w:val="single" w:sz="4" w:space="0" w:color="auto"/>
              <w:bottom w:val="single" w:sz="4" w:space="0" w:color="auto"/>
              <w:right w:val="single" w:sz="4" w:space="0" w:color="auto"/>
            </w:tcBorders>
          </w:tcPr>
          <w:p w14:paraId="29508CDC" w14:textId="77777777" w:rsidR="0027076E" w:rsidRPr="00041D6B" w:rsidRDefault="0027076E" w:rsidP="0027076E">
            <w:pPr>
              <w:jc w:val="center"/>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38A021" w14:textId="77777777" w:rsidR="0027076E" w:rsidRPr="00041D6B" w:rsidRDefault="0027076E" w:rsidP="0027076E">
            <w:pPr>
              <w:jc w:val="center"/>
              <w:rPr>
                <w:color w:val="000000"/>
              </w:rPr>
            </w:pPr>
            <w:r>
              <w:rPr>
                <w:color w:val="000000"/>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163BB0D" w14:textId="77777777" w:rsidR="0027076E" w:rsidRPr="00041D6B" w:rsidRDefault="0027076E" w:rsidP="0027076E">
            <w:r>
              <w:t>0</w:t>
            </w:r>
          </w:p>
        </w:tc>
        <w:tc>
          <w:tcPr>
            <w:tcW w:w="1276" w:type="dxa"/>
            <w:tcBorders>
              <w:top w:val="single" w:sz="4" w:space="0" w:color="auto"/>
              <w:left w:val="single" w:sz="4" w:space="0" w:color="auto"/>
              <w:bottom w:val="single" w:sz="4" w:space="0" w:color="auto"/>
              <w:right w:val="single" w:sz="4" w:space="0" w:color="auto"/>
            </w:tcBorders>
          </w:tcPr>
          <w:p w14:paraId="0A0BA9E2" w14:textId="77777777" w:rsidR="0027076E" w:rsidRPr="00041D6B" w:rsidRDefault="0027076E" w:rsidP="0027076E">
            <w:r>
              <w:t xml:space="preserve">Full Target Achieved </w:t>
            </w:r>
          </w:p>
        </w:tc>
        <w:tc>
          <w:tcPr>
            <w:tcW w:w="1984" w:type="dxa"/>
            <w:tcBorders>
              <w:top w:val="single" w:sz="4" w:space="0" w:color="auto"/>
              <w:left w:val="single" w:sz="4" w:space="0" w:color="auto"/>
              <w:bottom w:val="single" w:sz="4" w:space="0" w:color="auto"/>
            </w:tcBorders>
          </w:tcPr>
          <w:p w14:paraId="7C80F380" w14:textId="77777777" w:rsidR="0027076E" w:rsidRPr="00041D6B" w:rsidRDefault="0027076E" w:rsidP="0027076E">
            <w:pPr>
              <w:pStyle w:val="NoSpacing"/>
            </w:pPr>
          </w:p>
        </w:tc>
      </w:tr>
      <w:tr w:rsidR="0027076E" w:rsidRPr="00B64A59" w14:paraId="067D13DD"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004675A4" w14:textId="77777777" w:rsidR="0027076E" w:rsidRDefault="0027076E" w:rsidP="0027076E">
            <w:pPr>
              <w:rPr>
                <w:i/>
                <w:iCs/>
                <w:color w:val="000000"/>
              </w:rPr>
            </w:pPr>
            <w:r>
              <w:rPr>
                <w:i/>
                <w:iCs/>
                <w:color w:val="000000"/>
              </w:rPr>
              <w:t>Total No. of Reports Required by Oversight Agencies</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2A1BB420" w14:textId="77777777" w:rsidR="0027076E" w:rsidRPr="00041D6B" w:rsidRDefault="0027076E" w:rsidP="0027076E">
            <w:pPr>
              <w:jc w:val="center"/>
              <w:rPr>
                <w:color w:val="000000"/>
              </w:rPr>
            </w:pPr>
            <w:r>
              <w:rPr>
                <w:color w:val="000000"/>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D9F52A" w14:textId="77777777" w:rsidR="0027076E" w:rsidRPr="00041D6B" w:rsidRDefault="0027076E" w:rsidP="0027076E">
            <w:pPr>
              <w:jc w:val="center"/>
              <w:rPr>
                <w:color w:val="000000"/>
              </w:rPr>
            </w:pPr>
            <w:r>
              <w:rPr>
                <w:color w:val="00000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B9EFD56" w14:textId="77777777" w:rsidR="0027076E" w:rsidRPr="00041D6B" w:rsidRDefault="0027076E" w:rsidP="0027076E"/>
        </w:tc>
        <w:tc>
          <w:tcPr>
            <w:tcW w:w="1276" w:type="dxa"/>
            <w:tcBorders>
              <w:top w:val="single" w:sz="4" w:space="0" w:color="auto"/>
              <w:left w:val="single" w:sz="4" w:space="0" w:color="auto"/>
              <w:bottom w:val="single" w:sz="4" w:space="0" w:color="auto"/>
              <w:right w:val="single" w:sz="4" w:space="0" w:color="auto"/>
            </w:tcBorders>
          </w:tcPr>
          <w:p w14:paraId="7D69A51B" w14:textId="77777777" w:rsidR="0027076E" w:rsidRPr="00041D6B" w:rsidRDefault="0027076E" w:rsidP="0027076E"/>
        </w:tc>
        <w:tc>
          <w:tcPr>
            <w:tcW w:w="1984" w:type="dxa"/>
            <w:tcBorders>
              <w:top w:val="single" w:sz="4" w:space="0" w:color="auto"/>
              <w:left w:val="single" w:sz="4" w:space="0" w:color="auto"/>
              <w:bottom w:val="single" w:sz="4" w:space="0" w:color="auto"/>
            </w:tcBorders>
          </w:tcPr>
          <w:p w14:paraId="58EFE6FB" w14:textId="77777777" w:rsidR="0027076E" w:rsidRPr="00041D6B" w:rsidRDefault="0027076E" w:rsidP="0027076E">
            <w:pPr>
              <w:pStyle w:val="NoSpacing"/>
            </w:pPr>
          </w:p>
        </w:tc>
      </w:tr>
      <w:tr w:rsidR="0027076E" w:rsidRPr="00B64A59" w14:paraId="7DDE2FAB" w14:textId="77777777" w:rsidTr="00023229">
        <w:trPr>
          <w:trHeight w:val="189"/>
        </w:trPr>
        <w:tc>
          <w:tcPr>
            <w:tcW w:w="2280" w:type="dxa"/>
            <w:tcBorders>
              <w:top w:val="nil"/>
              <w:left w:val="single" w:sz="4" w:space="0" w:color="000000"/>
              <w:bottom w:val="single" w:sz="4" w:space="0" w:color="000000"/>
              <w:right w:val="single" w:sz="4" w:space="0" w:color="000000"/>
            </w:tcBorders>
            <w:shd w:val="clear" w:color="auto" w:fill="FFFFFF" w:themeFill="background1"/>
          </w:tcPr>
          <w:p w14:paraId="076FAF40" w14:textId="77777777" w:rsidR="0027076E" w:rsidRDefault="0027076E" w:rsidP="0027076E">
            <w:pPr>
              <w:rPr>
                <w:i/>
                <w:iCs/>
                <w:color w:val="000000"/>
              </w:rPr>
            </w:pPr>
            <w:r>
              <w:rPr>
                <w:i/>
                <w:iCs/>
                <w:color w:val="000000"/>
              </w:rPr>
              <w:t>No. of Reports Required complied with</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62A2D2EF" w14:textId="77777777" w:rsidR="0027076E" w:rsidRPr="00041D6B" w:rsidRDefault="0027076E" w:rsidP="0027076E">
            <w:pPr>
              <w:jc w:val="center"/>
              <w:rPr>
                <w:color w:val="000000"/>
              </w:rPr>
            </w:pPr>
            <w:r>
              <w:rPr>
                <w:color w:val="000000"/>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30CDE" w14:textId="77777777" w:rsidR="0027076E" w:rsidRPr="00041D6B" w:rsidRDefault="0027076E" w:rsidP="0027076E">
            <w:pPr>
              <w:jc w:val="center"/>
              <w:rPr>
                <w:color w:val="000000"/>
              </w:rPr>
            </w:pPr>
            <w:r>
              <w:rPr>
                <w:color w:val="00000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D9165A9" w14:textId="77777777" w:rsidR="0027076E" w:rsidRPr="00041D6B" w:rsidRDefault="0027076E" w:rsidP="0027076E"/>
        </w:tc>
        <w:tc>
          <w:tcPr>
            <w:tcW w:w="1276" w:type="dxa"/>
            <w:tcBorders>
              <w:top w:val="single" w:sz="4" w:space="0" w:color="auto"/>
              <w:left w:val="single" w:sz="4" w:space="0" w:color="auto"/>
              <w:bottom w:val="single" w:sz="4" w:space="0" w:color="auto"/>
              <w:right w:val="single" w:sz="4" w:space="0" w:color="auto"/>
            </w:tcBorders>
          </w:tcPr>
          <w:p w14:paraId="1DF5C309" w14:textId="77777777" w:rsidR="0027076E" w:rsidRPr="00041D6B" w:rsidRDefault="0027076E" w:rsidP="0027076E"/>
        </w:tc>
        <w:tc>
          <w:tcPr>
            <w:tcW w:w="1984" w:type="dxa"/>
            <w:tcBorders>
              <w:top w:val="single" w:sz="4" w:space="0" w:color="auto"/>
              <w:left w:val="single" w:sz="4" w:space="0" w:color="auto"/>
              <w:bottom w:val="single" w:sz="4" w:space="0" w:color="auto"/>
            </w:tcBorders>
          </w:tcPr>
          <w:p w14:paraId="78480469" w14:textId="77777777" w:rsidR="0027076E" w:rsidRPr="00041D6B" w:rsidRDefault="0027076E" w:rsidP="0027076E">
            <w:pPr>
              <w:pStyle w:val="NoSpacing"/>
            </w:pPr>
          </w:p>
        </w:tc>
      </w:tr>
    </w:tbl>
    <w:p w14:paraId="4FD7B951" w14:textId="77777777" w:rsidR="0068148D" w:rsidRPr="00B42E7B" w:rsidRDefault="0068148D" w:rsidP="0068148D">
      <w:pPr>
        <w:rPr>
          <w:color w:val="000000" w:themeColor="text1"/>
        </w:rPr>
      </w:pPr>
    </w:p>
    <w:p w14:paraId="21ED3E8E" w14:textId="77777777" w:rsidR="0068148D" w:rsidRDefault="0068148D" w:rsidP="0068148D">
      <w:pPr>
        <w:spacing w:line="240" w:lineRule="auto"/>
        <w:jc w:val="both"/>
        <w:rPr>
          <w:b/>
          <w:color w:val="000000" w:themeColor="text1"/>
        </w:rPr>
      </w:pPr>
      <w:r w:rsidRPr="00B42E7B">
        <w:rPr>
          <w:b/>
          <w:color w:val="000000" w:themeColor="text1"/>
        </w:rPr>
        <w:t>Table 3. Financial Performance of Office/Program (To be accomplished by Accounting and Budget Section)</w:t>
      </w:r>
    </w:p>
    <w:p w14:paraId="2585972B" w14:textId="77777777" w:rsidR="0068148D" w:rsidRDefault="0068148D" w:rsidP="0068148D">
      <w:pPr>
        <w:spacing w:line="240" w:lineRule="auto"/>
        <w:jc w:val="both"/>
        <w:rPr>
          <w:b/>
          <w:color w:val="000000" w:themeColor="text1"/>
        </w:rPr>
      </w:pPr>
    </w:p>
    <w:tbl>
      <w:tblPr>
        <w:tblStyle w:val="TableGrid"/>
        <w:tblW w:w="10491" w:type="dxa"/>
        <w:tblInd w:w="-431" w:type="dxa"/>
        <w:tblLayout w:type="fixed"/>
        <w:tblLook w:val="04A0" w:firstRow="1" w:lastRow="0" w:firstColumn="1" w:lastColumn="0" w:noHBand="0" w:noVBand="1"/>
      </w:tblPr>
      <w:tblGrid>
        <w:gridCol w:w="2978"/>
        <w:gridCol w:w="1843"/>
        <w:gridCol w:w="1842"/>
        <w:gridCol w:w="1843"/>
        <w:gridCol w:w="992"/>
        <w:gridCol w:w="993"/>
      </w:tblGrid>
      <w:tr w:rsidR="0068148D" w14:paraId="70F3105F" w14:textId="77777777" w:rsidTr="00023229">
        <w:tc>
          <w:tcPr>
            <w:tcW w:w="2978" w:type="dxa"/>
            <w:vMerge w:val="restart"/>
            <w:shd w:val="clear" w:color="auto" w:fill="DEEAF6" w:themeFill="accent1" w:themeFillTint="33"/>
          </w:tcPr>
          <w:p w14:paraId="11050E56" w14:textId="77777777" w:rsidR="0068148D" w:rsidRDefault="0068148D" w:rsidP="00341200">
            <w:pPr>
              <w:jc w:val="center"/>
              <w:rPr>
                <w:b/>
                <w:color w:val="000000" w:themeColor="text1"/>
              </w:rPr>
            </w:pPr>
            <w:r w:rsidRPr="0023413E">
              <w:rPr>
                <w:b/>
                <w:color w:val="000000" w:themeColor="text1"/>
              </w:rPr>
              <w:t>Program/Activity/Project</w:t>
            </w:r>
          </w:p>
        </w:tc>
        <w:tc>
          <w:tcPr>
            <w:tcW w:w="1843" w:type="dxa"/>
            <w:vMerge w:val="restart"/>
            <w:shd w:val="clear" w:color="auto" w:fill="DEEAF6" w:themeFill="accent1" w:themeFillTint="33"/>
          </w:tcPr>
          <w:p w14:paraId="0A03B830" w14:textId="77777777" w:rsidR="0068148D" w:rsidRDefault="0068148D" w:rsidP="00341200">
            <w:pPr>
              <w:jc w:val="center"/>
              <w:rPr>
                <w:b/>
                <w:color w:val="000000" w:themeColor="text1"/>
              </w:rPr>
            </w:pPr>
            <w:r w:rsidRPr="0023413E">
              <w:rPr>
                <w:b/>
                <w:color w:val="000000" w:themeColor="text1"/>
              </w:rPr>
              <w:t>Allocated Budget</w:t>
            </w:r>
          </w:p>
        </w:tc>
        <w:tc>
          <w:tcPr>
            <w:tcW w:w="1842" w:type="dxa"/>
            <w:vMerge w:val="restart"/>
            <w:shd w:val="clear" w:color="auto" w:fill="DEEAF6" w:themeFill="accent1" w:themeFillTint="33"/>
          </w:tcPr>
          <w:p w14:paraId="4BBDACBA" w14:textId="77777777" w:rsidR="0068148D" w:rsidRDefault="0068148D" w:rsidP="00341200">
            <w:pPr>
              <w:jc w:val="center"/>
              <w:rPr>
                <w:b/>
                <w:color w:val="000000" w:themeColor="text1"/>
              </w:rPr>
            </w:pPr>
            <w:r w:rsidRPr="0023413E">
              <w:rPr>
                <w:b/>
                <w:color w:val="000000" w:themeColor="text1"/>
              </w:rPr>
              <w:t>Obligations</w:t>
            </w:r>
          </w:p>
        </w:tc>
        <w:tc>
          <w:tcPr>
            <w:tcW w:w="1843" w:type="dxa"/>
            <w:vMerge w:val="restart"/>
            <w:shd w:val="clear" w:color="auto" w:fill="DEEAF6" w:themeFill="accent1" w:themeFillTint="33"/>
          </w:tcPr>
          <w:p w14:paraId="46984A9D" w14:textId="77777777" w:rsidR="0068148D" w:rsidRDefault="0068148D" w:rsidP="00341200">
            <w:pPr>
              <w:jc w:val="center"/>
              <w:rPr>
                <w:b/>
                <w:color w:val="000000" w:themeColor="text1"/>
              </w:rPr>
            </w:pPr>
            <w:r>
              <w:rPr>
                <w:b/>
                <w:color w:val="000000" w:themeColor="text1"/>
              </w:rPr>
              <w:t>Disbursement</w:t>
            </w:r>
          </w:p>
        </w:tc>
        <w:tc>
          <w:tcPr>
            <w:tcW w:w="1985" w:type="dxa"/>
            <w:gridSpan w:val="2"/>
            <w:shd w:val="clear" w:color="auto" w:fill="DEEAF6" w:themeFill="accent1" w:themeFillTint="33"/>
          </w:tcPr>
          <w:p w14:paraId="5B734A37" w14:textId="77777777" w:rsidR="0068148D" w:rsidRDefault="0068148D" w:rsidP="0068148D">
            <w:pPr>
              <w:jc w:val="both"/>
              <w:rPr>
                <w:b/>
                <w:color w:val="000000" w:themeColor="text1"/>
              </w:rPr>
            </w:pPr>
            <w:r w:rsidRPr="0023413E">
              <w:rPr>
                <w:b/>
                <w:color w:val="000000" w:themeColor="text1"/>
              </w:rPr>
              <w:t>Utilization Rate (%)</w:t>
            </w:r>
          </w:p>
        </w:tc>
      </w:tr>
      <w:tr w:rsidR="0068148D" w14:paraId="1C117849" w14:textId="77777777" w:rsidTr="00023229">
        <w:tc>
          <w:tcPr>
            <w:tcW w:w="2978" w:type="dxa"/>
            <w:vMerge/>
          </w:tcPr>
          <w:p w14:paraId="37C7F809" w14:textId="77777777" w:rsidR="0068148D" w:rsidRDefault="0068148D" w:rsidP="0068148D">
            <w:pPr>
              <w:jc w:val="both"/>
              <w:rPr>
                <w:b/>
                <w:color w:val="000000" w:themeColor="text1"/>
              </w:rPr>
            </w:pPr>
          </w:p>
        </w:tc>
        <w:tc>
          <w:tcPr>
            <w:tcW w:w="1843" w:type="dxa"/>
            <w:vMerge/>
          </w:tcPr>
          <w:p w14:paraId="0D833DED" w14:textId="77777777" w:rsidR="0068148D" w:rsidRDefault="0068148D" w:rsidP="0068148D">
            <w:pPr>
              <w:jc w:val="both"/>
              <w:rPr>
                <w:b/>
                <w:color w:val="000000" w:themeColor="text1"/>
              </w:rPr>
            </w:pPr>
          </w:p>
        </w:tc>
        <w:tc>
          <w:tcPr>
            <w:tcW w:w="1842" w:type="dxa"/>
            <w:vMerge/>
          </w:tcPr>
          <w:p w14:paraId="7EEB599A" w14:textId="77777777" w:rsidR="0068148D" w:rsidRDefault="0068148D" w:rsidP="0068148D">
            <w:pPr>
              <w:jc w:val="both"/>
              <w:rPr>
                <w:b/>
                <w:color w:val="000000" w:themeColor="text1"/>
              </w:rPr>
            </w:pPr>
          </w:p>
        </w:tc>
        <w:tc>
          <w:tcPr>
            <w:tcW w:w="1843" w:type="dxa"/>
            <w:vMerge/>
          </w:tcPr>
          <w:p w14:paraId="25D9651A" w14:textId="77777777" w:rsidR="0068148D" w:rsidRDefault="0068148D" w:rsidP="0068148D">
            <w:pPr>
              <w:jc w:val="both"/>
              <w:rPr>
                <w:b/>
                <w:color w:val="000000" w:themeColor="text1"/>
              </w:rPr>
            </w:pPr>
          </w:p>
        </w:tc>
        <w:tc>
          <w:tcPr>
            <w:tcW w:w="992" w:type="dxa"/>
          </w:tcPr>
          <w:p w14:paraId="20086F8A" w14:textId="77777777" w:rsidR="0068148D" w:rsidRPr="00DF233A" w:rsidRDefault="0068148D" w:rsidP="0068148D">
            <w:pPr>
              <w:jc w:val="center"/>
              <w:rPr>
                <w:b/>
                <w:color w:val="000000" w:themeColor="text1"/>
                <w:sz w:val="20"/>
              </w:rPr>
            </w:pPr>
            <w:r w:rsidRPr="00DF233A">
              <w:rPr>
                <w:b/>
                <w:color w:val="000000" w:themeColor="text1"/>
                <w:sz w:val="20"/>
              </w:rPr>
              <w:t>Obligations</w:t>
            </w:r>
          </w:p>
        </w:tc>
        <w:tc>
          <w:tcPr>
            <w:tcW w:w="993" w:type="dxa"/>
          </w:tcPr>
          <w:p w14:paraId="7EABB37B" w14:textId="77777777" w:rsidR="0068148D" w:rsidRPr="00DF233A" w:rsidRDefault="0068148D" w:rsidP="0068148D">
            <w:pPr>
              <w:jc w:val="center"/>
              <w:rPr>
                <w:b/>
                <w:color w:val="000000" w:themeColor="text1"/>
                <w:sz w:val="20"/>
              </w:rPr>
            </w:pPr>
            <w:r w:rsidRPr="00DF233A">
              <w:rPr>
                <w:b/>
                <w:color w:val="000000" w:themeColor="text1"/>
                <w:sz w:val="20"/>
              </w:rPr>
              <w:t>Disbursement</w:t>
            </w:r>
          </w:p>
        </w:tc>
      </w:tr>
      <w:tr w:rsidR="0068148D" w14:paraId="379693ED" w14:textId="77777777" w:rsidTr="00023229">
        <w:tc>
          <w:tcPr>
            <w:tcW w:w="2978" w:type="dxa"/>
          </w:tcPr>
          <w:p w14:paraId="65405312" w14:textId="77777777" w:rsidR="0068148D" w:rsidRPr="00DF233A" w:rsidRDefault="0068148D" w:rsidP="0068148D">
            <w:pPr>
              <w:jc w:val="both"/>
              <w:rPr>
                <w:b/>
                <w:color w:val="000000" w:themeColor="text1"/>
                <w:sz w:val="20"/>
              </w:rPr>
            </w:pPr>
            <w:r w:rsidRPr="00DF233A">
              <w:rPr>
                <w:b/>
                <w:color w:val="000000" w:themeColor="text1"/>
                <w:sz w:val="20"/>
              </w:rPr>
              <w:t>Pantawid Pamilyang Pilipino         Program</w:t>
            </w:r>
          </w:p>
        </w:tc>
        <w:tc>
          <w:tcPr>
            <w:tcW w:w="1843" w:type="dxa"/>
          </w:tcPr>
          <w:p w14:paraId="6FBFCF79" w14:textId="77777777" w:rsidR="0068148D" w:rsidRPr="00AE4610" w:rsidRDefault="008B3B71" w:rsidP="008B3B71">
            <w:pPr>
              <w:jc w:val="right"/>
              <w:rPr>
                <w:b/>
                <w:color w:val="000000" w:themeColor="text1"/>
                <w:sz w:val="20"/>
              </w:rPr>
            </w:pPr>
            <w:r>
              <w:rPr>
                <w:b/>
                <w:color w:val="000000" w:themeColor="text1"/>
                <w:sz w:val="20"/>
              </w:rPr>
              <w:t>2,615,191,730</w:t>
            </w:r>
          </w:p>
        </w:tc>
        <w:tc>
          <w:tcPr>
            <w:tcW w:w="1842" w:type="dxa"/>
          </w:tcPr>
          <w:p w14:paraId="2C87516A" w14:textId="77777777" w:rsidR="0068148D" w:rsidRPr="008B3B71" w:rsidRDefault="008B3B71" w:rsidP="0068148D">
            <w:pPr>
              <w:jc w:val="right"/>
              <w:rPr>
                <w:b/>
                <w:sz w:val="20"/>
              </w:rPr>
            </w:pPr>
            <w:r>
              <w:t>613,507,025.</w:t>
            </w:r>
          </w:p>
        </w:tc>
        <w:tc>
          <w:tcPr>
            <w:tcW w:w="1843" w:type="dxa"/>
          </w:tcPr>
          <w:p w14:paraId="5E4B1E1B" w14:textId="77777777" w:rsidR="0068148D" w:rsidRPr="00AE4610" w:rsidRDefault="008B3B71" w:rsidP="008B3B71">
            <w:pPr>
              <w:jc w:val="right"/>
              <w:rPr>
                <w:b/>
                <w:color w:val="000000" w:themeColor="text1"/>
                <w:sz w:val="20"/>
              </w:rPr>
            </w:pPr>
            <w:r w:rsidRPr="008B3B71">
              <w:t>569,931,500</w:t>
            </w:r>
          </w:p>
        </w:tc>
        <w:tc>
          <w:tcPr>
            <w:tcW w:w="992" w:type="dxa"/>
          </w:tcPr>
          <w:p w14:paraId="02CEE068" w14:textId="77777777" w:rsidR="0068148D" w:rsidRPr="00322C1A" w:rsidRDefault="008B3B71" w:rsidP="00341200">
            <w:pPr>
              <w:jc w:val="right"/>
              <w:rPr>
                <w:color w:val="000000" w:themeColor="text1"/>
              </w:rPr>
            </w:pPr>
            <w:r>
              <w:rPr>
                <w:color w:val="000000" w:themeColor="text1"/>
              </w:rPr>
              <w:t>23.46%</w:t>
            </w:r>
          </w:p>
        </w:tc>
        <w:tc>
          <w:tcPr>
            <w:tcW w:w="993" w:type="dxa"/>
          </w:tcPr>
          <w:p w14:paraId="5583AD27" w14:textId="77777777" w:rsidR="0068148D" w:rsidRPr="00322C1A" w:rsidRDefault="008B3B71" w:rsidP="00341200">
            <w:pPr>
              <w:jc w:val="right"/>
              <w:rPr>
                <w:color w:val="000000" w:themeColor="text1"/>
              </w:rPr>
            </w:pPr>
            <w:r>
              <w:rPr>
                <w:color w:val="000000" w:themeColor="text1"/>
              </w:rPr>
              <w:t>21.79%</w:t>
            </w:r>
          </w:p>
        </w:tc>
      </w:tr>
      <w:tr w:rsidR="008B3B71" w14:paraId="1DA16DBB" w14:textId="77777777" w:rsidTr="00023229">
        <w:tc>
          <w:tcPr>
            <w:tcW w:w="2978" w:type="dxa"/>
          </w:tcPr>
          <w:p w14:paraId="26B5C503" w14:textId="77777777" w:rsidR="008B3B71" w:rsidRPr="00DF233A" w:rsidRDefault="008B3B71" w:rsidP="008B3B71">
            <w:pPr>
              <w:jc w:val="both"/>
              <w:rPr>
                <w:b/>
                <w:color w:val="000000" w:themeColor="text1"/>
                <w:sz w:val="20"/>
              </w:rPr>
            </w:pPr>
            <w:r w:rsidRPr="00DF233A">
              <w:rPr>
                <w:b/>
                <w:color w:val="000000" w:themeColor="text1"/>
                <w:sz w:val="20"/>
              </w:rPr>
              <w:lastRenderedPageBreak/>
              <w:t>Sustainable Livelihood Program</w:t>
            </w:r>
          </w:p>
        </w:tc>
        <w:tc>
          <w:tcPr>
            <w:tcW w:w="1843" w:type="dxa"/>
          </w:tcPr>
          <w:p w14:paraId="2653DCBB" w14:textId="77777777" w:rsidR="008B3B71" w:rsidRDefault="008B3B71" w:rsidP="008B3B71">
            <w:pPr>
              <w:jc w:val="right"/>
              <w:rPr>
                <w:b/>
                <w:color w:val="000000" w:themeColor="text1"/>
              </w:rPr>
            </w:pPr>
            <w:r>
              <w:t>223,476,311.00</w:t>
            </w:r>
          </w:p>
        </w:tc>
        <w:tc>
          <w:tcPr>
            <w:tcW w:w="1842" w:type="dxa"/>
          </w:tcPr>
          <w:p w14:paraId="7A47C733" w14:textId="77777777" w:rsidR="008B3B71" w:rsidRDefault="008B3B71" w:rsidP="008B3B71">
            <w:pPr>
              <w:spacing w:line="240" w:lineRule="auto"/>
              <w:jc w:val="center"/>
              <w:rPr>
                <w:rFonts w:eastAsia="Times New Roman"/>
                <w:lang w:val="en-PH" w:eastAsia="en-PH"/>
              </w:rPr>
            </w:pPr>
            <w:r>
              <w:t>36,563,728.00</w:t>
            </w:r>
          </w:p>
        </w:tc>
        <w:tc>
          <w:tcPr>
            <w:tcW w:w="1843" w:type="dxa"/>
          </w:tcPr>
          <w:p w14:paraId="2EB1E47E" w14:textId="77777777" w:rsidR="008B3B71" w:rsidRDefault="008B3B71" w:rsidP="008B3B71">
            <w:pPr>
              <w:spacing w:line="240" w:lineRule="auto"/>
              <w:jc w:val="right"/>
              <w:rPr>
                <w:rFonts w:eastAsia="Times New Roman"/>
                <w:lang w:val="en-PH" w:eastAsia="en-PH"/>
              </w:rPr>
            </w:pPr>
            <w:r>
              <w:t>36,563,728.00</w:t>
            </w:r>
          </w:p>
        </w:tc>
        <w:tc>
          <w:tcPr>
            <w:tcW w:w="992" w:type="dxa"/>
          </w:tcPr>
          <w:p w14:paraId="79977E13" w14:textId="77777777" w:rsidR="008B3B71" w:rsidRDefault="008B3B71" w:rsidP="00341200">
            <w:pPr>
              <w:spacing w:line="240" w:lineRule="auto"/>
              <w:jc w:val="right"/>
              <w:rPr>
                <w:rFonts w:eastAsia="Times New Roman"/>
                <w:lang w:val="en-PH" w:eastAsia="en-PH"/>
              </w:rPr>
            </w:pPr>
            <w:r>
              <w:t>16.36%</w:t>
            </w:r>
          </w:p>
        </w:tc>
        <w:tc>
          <w:tcPr>
            <w:tcW w:w="993" w:type="dxa"/>
          </w:tcPr>
          <w:p w14:paraId="43CCA9F8" w14:textId="77777777" w:rsidR="008B3B71" w:rsidRDefault="008B3B71" w:rsidP="00341200">
            <w:pPr>
              <w:spacing w:line="240" w:lineRule="auto"/>
              <w:jc w:val="right"/>
              <w:rPr>
                <w:rFonts w:eastAsia="Times New Roman"/>
                <w:lang w:val="en-PH" w:eastAsia="en-PH"/>
              </w:rPr>
            </w:pPr>
            <w:r>
              <w:t>16.36%</w:t>
            </w:r>
          </w:p>
        </w:tc>
      </w:tr>
      <w:tr w:rsidR="008B3B71" w14:paraId="19FAC52B" w14:textId="77777777" w:rsidTr="0002322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4FB6238" w14:textId="77777777" w:rsidR="008B3B71" w:rsidRDefault="008B3B71" w:rsidP="008B3B71">
            <w:pPr>
              <w:jc w:val="right"/>
              <w:rPr>
                <w:b/>
                <w:bCs/>
                <w:color w:val="000000"/>
                <w:sz w:val="20"/>
                <w:szCs w:val="20"/>
              </w:rPr>
            </w:pPr>
            <w:r>
              <w:rPr>
                <w:b/>
                <w:bCs/>
                <w:color w:val="000000"/>
                <w:sz w:val="20"/>
                <w:szCs w:val="20"/>
              </w:rPr>
              <w:t>Current Appropriation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F3DC87" w14:textId="77777777" w:rsidR="008B3B71" w:rsidRDefault="008B3B71" w:rsidP="008B3B71">
            <w:pPr>
              <w:spacing w:line="240" w:lineRule="auto"/>
              <w:jc w:val="right"/>
              <w:rPr>
                <w:rFonts w:eastAsia="Times New Roman"/>
                <w:lang w:val="en-PH" w:eastAsia="en-PH"/>
              </w:rPr>
            </w:pPr>
            <w:r>
              <w:t>202,552,334.00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600D40" w14:textId="77777777" w:rsidR="008B3B71" w:rsidRDefault="008B3B71" w:rsidP="008B3B71">
            <w:pPr>
              <w:jc w:val="center"/>
            </w:pPr>
            <w:r>
              <w:t>15,639,751.00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8FA6F" w14:textId="77777777" w:rsidR="008B3B71" w:rsidRDefault="008B3B71" w:rsidP="008B3B71">
            <w:pPr>
              <w:jc w:val="right"/>
            </w:pPr>
            <w:r>
              <w:t>15,639,751.00</w:t>
            </w:r>
          </w:p>
        </w:tc>
        <w:tc>
          <w:tcPr>
            <w:tcW w:w="992" w:type="dxa"/>
          </w:tcPr>
          <w:p w14:paraId="6FDC5847" w14:textId="77777777" w:rsidR="008B3B71" w:rsidRDefault="008B3B71" w:rsidP="00341200">
            <w:pPr>
              <w:jc w:val="right"/>
            </w:pPr>
            <w:r>
              <w:t>7.72%</w:t>
            </w:r>
          </w:p>
        </w:tc>
        <w:tc>
          <w:tcPr>
            <w:tcW w:w="993" w:type="dxa"/>
          </w:tcPr>
          <w:p w14:paraId="73338178" w14:textId="77777777" w:rsidR="008B3B71" w:rsidRDefault="008B3B71" w:rsidP="00341200">
            <w:pPr>
              <w:jc w:val="right"/>
            </w:pPr>
            <w:r>
              <w:t>7.72%</w:t>
            </w:r>
          </w:p>
        </w:tc>
      </w:tr>
      <w:tr w:rsidR="008B3B71" w14:paraId="1F74B072" w14:textId="77777777" w:rsidTr="00023229">
        <w:tc>
          <w:tcPr>
            <w:tcW w:w="2978" w:type="dxa"/>
            <w:tcBorders>
              <w:top w:val="nil"/>
              <w:left w:val="single" w:sz="4" w:space="0" w:color="000000"/>
              <w:bottom w:val="single" w:sz="4" w:space="0" w:color="000000"/>
              <w:right w:val="single" w:sz="4" w:space="0" w:color="000000"/>
            </w:tcBorders>
            <w:shd w:val="clear" w:color="auto" w:fill="auto"/>
          </w:tcPr>
          <w:p w14:paraId="446ABDBD" w14:textId="77777777" w:rsidR="008B3B71" w:rsidRDefault="008B3B71" w:rsidP="008B3B71">
            <w:pPr>
              <w:jc w:val="right"/>
              <w:rPr>
                <w:b/>
                <w:bCs/>
                <w:color w:val="000000"/>
                <w:sz w:val="20"/>
                <w:szCs w:val="20"/>
              </w:rPr>
            </w:pPr>
            <w:r>
              <w:rPr>
                <w:b/>
                <w:bCs/>
                <w:color w:val="000000"/>
                <w:sz w:val="20"/>
                <w:szCs w:val="20"/>
              </w:rPr>
              <w:t>Continuing Appropriation</w:t>
            </w:r>
          </w:p>
        </w:tc>
        <w:tc>
          <w:tcPr>
            <w:tcW w:w="1843" w:type="dxa"/>
            <w:tcBorders>
              <w:top w:val="nil"/>
              <w:left w:val="single" w:sz="4" w:space="0" w:color="000000"/>
              <w:bottom w:val="single" w:sz="4" w:space="0" w:color="000000"/>
              <w:right w:val="single" w:sz="4" w:space="0" w:color="000000"/>
            </w:tcBorders>
            <w:shd w:val="clear" w:color="auto" w:fill="FFFFFF" w:themeFill="background1"/>
          </w:tcPr>
          <w:p w14:paraId="4DFDE190" w14:textId="77777777" w:rsidR="008B3B71" w:rsidRDefault="008B3B71" w:rsidP="008B3B71">
            <w:pPr>
              <w:jc w:val="right"/>
            </w:pPr>
            <w:r>
              <w:t>20,923,977.00</w:t>
            </w:r>
          </w:p>
        </w:tc>
        <w:tc>
          <w:tcPr>
            <w:tcW w:w="1842" w:type="dxa"/>
            <w:tcBorders>
              <w:top w:val="nil"/>
              <w:left w:val="single" w:sz="4" w:space="0" w:color="000000"/>
              <w:bottom w:val="single" w:sz="4" w:space="0" w:color="000000"/>
              <w:right w:val="single" w:sz="4" w:space="0" w:color="000000"/>
            </w:tcBorders>
            <w:shd w:val="clear" w:color="auto" w:fill="FFFFFF" w:themeFill="background1"/>
          </w:tcPr>
          <w:p w14:paraId="1FC32C5A" w14:textId="77777777" w:rsidR="008B3B71" w:rsidRDefault="008B3B71" w:rsidP="008B3B71">
            <w:pPr>
              <w:jc w:val="center"/>
            </w:pPr>
            <w:r>
              <w:t>20,923,977.00</w:t>
            </w:r>
          </w:p>
        </w:tc>
        <w:tc>
          <w:tcPr>
            <w:tcW w:w="1843" w:type="dxa"/>
            <w:tcBorders>
              <w:top w:val="nil"/>
              <w:left w:val="single" w:sz="4" w:space="0" w:color="000000"/>
              <w:bottom w:val="single" w:sz="4" w:space="0" w:color="000000"/>
              <w:right w:val="single" w:sz="4" w:space="0" w:color="000000"/>
            </w:tcBorders>
            <w:shd w:val="clear" w:color="auto" w:fill="FFFFFF" w:themeFill="background1"/>
          </w:tcPr>
          <w:p w14:paraId="1D8946C6" w14:textId="77777777" w:rsidR="008B3B71" w:rsidRDefault="008B3B71" w:rsidP="008B3B71">
            <w:pPr>
              <w:jc w:val="right"/>
            </w:pPr>
            <w:r>
              <w:t>20,923,977.00</w:t>
            </w:r>
          </w:p>
        </w:tc>
        <w:tc>
          <w:tcPr>
            <w:tcW w:w="992" w:type="dxa"/>
          </w:tcPr>
          <w:p w14:paraId="366CD7BF" w14:textId="77777777" w:rsidR="008B3B71" w:rsidRDefault="008B3B71" w:rsidP="00341200">
            <w:pPr>
              <w:jc w:val="right"/>
            </w:pPr>
            <w:r>
              <w:t>100.00%</w:t>
            </w:r>
          </w:p>
        </w:tc>
        <w:tc>
          <w:tcPr>
            <w:tcW w:w="993" w:type="dxa"/>
          </w:tcPr>
          <w:p w14:paraId="089D8E9C" w14:textId="77777777" w:rsidR="008B3B71" w:rsidRDefault="008B3B71" w:rsidP="00341200">
            <w:pPr>
              <w:jc w:val="right"/>
            </w:pPr>
            <w:r>
              <w:t>100.00%</w:t>
            </w:r>
          </w:p>
        </w:tc>
      </w:tr>
      <w:tr w:rsidR="008B3B71" w14:paraId="39289A10" w14:textId="77777777" w:rsidTr="00023229">
        <w:tc>
          <w:tcPr>
            <w:tcW w:w="2978" w:type="dxa"/>
            <w:tcBorders>
              <w:top w:val="nil"/>
              <w:left w:val="single" w:sz="4" w:space="0" w:color="000000"/>
              <w:bottom w:val="single" w:sz="4" w:space="0" w:color="000000"/>
              <w:right w:val="single" w:sz="4" w:space="0" w:color="000000"/>
            </w:tcBorders>
            <w:shd w:val="clear" w:color="auto" w:fill="auto"/>
          </w:tcPr>
          <w:p w14:paraId="5AA1BA9D" w14:textId="77777777" w:rsidR="008B3B71" w:rsidRPr="008B3B71" w:rsidRDefault="008B3B71" w:rsidP="008B3B71">
            <w:pPr>
              <w:spacing w:line="240" w:lineRule="auto"/>
              <w:rPr>
                <w:rFonts w:eastAsia="Times New Roman"/>
                <w:bCs/>
                <w:lang w:val="en-PH" w:eastAsia="en-PH"/>
              </w:rPr>
            </w:pPr>
            <w:r w:rsidRPr="008B3B71">
              <w:rPr>
                <w:bCs/>
              </w:rPr>
              <w:t>EPHAP</w:t>
            </w:r>
          </w:p>
        </w:tc>
        <w:tc>
          <w:tcPr>
            <w:tcW w:w="1843" w:type="dxa"/>
            <w:tcBorders>
              <w:top w:val="nil"/>
              <w:left w:val="single" w:sz="4" w:space="0" w:color="000000"/>
              <w:bottom w:val="single" w:sz="4" w:space="0" w:color="000000"/>
              <w:right w:val="single" w:sz="4" w:space="0" w:color="000000"/>
            </w:tcBorders>
            <w:shd w:val="clear" w:color="auto" w:fill="FFFFFF" w:themeFill="background1"/>
          </w:tcPr>
          <w:p w14:paraId="0980F187" w14:textId="77777777" w:rsidR="008B3B71" w:rsidRDefault="008B3B71" w:rsidP="008B3B71">
            <w:pPr>
              <w:spacing w:line="240" w:lineRule="auto"/>
              <w:jc w:val="right"/>
              <w:rPr>
                <w:rFonts w:eastAsia="Times New Roman"/>
                <w:lang w:val="en-PH" w:eastAsia="en-PH"/>
              </w:rPr>
            </w:pPr>
            <w:r>
              <w:t>4,785,288.29</w:t>
            </w:r>
          </w:p>
        </w:tc>
        <w:tc>
          <w:tcPr>
            <w:tcW w:w="1842" w:type="dxa"/>
            <w:tcBorders>
              <w:top w:val="nil"/>
              <w:left w:val="single" w:sz="4" w:space="0" w:color="000000"/>
              <w:bottom w:val="single" w:sz="4" w:space="0" w:color="000000"/>
              <w:right w:val="single" w:sz="4" w:space="0" w:color="000000"/>
            </w:tcBorders>
            <w:shd w:val="clear" w:color="auto" w:fill="FFFFFF" w:themeFill="background1"/>
          </w:tcPr>
          <w:p w14:paraId="32BE8F60" w14:textId="77777777" w:rsidR="008B3B71" w:rsidRDefault="008B3B71" w:rsidP="008B3B71">
            <w:pPr>
              <w:spacing w:line="240" w:lineRule="auto"/>
              <w:jc w:val="right"/>
              <w:rPr>
                <w:rFonts w:eastAsia="Times New Roman"/>
                <w:lang w:val="en-PH" w:eastAsia="en-PH"/>
              </w:rPr>
            </w:pPr>
            <w:r>
              <w:t>2,349,253.53</w:t>
            </w:r>
          </w:p>
        </w:tc>
        <w:tc>
          <w:tcPr>
            <w:tcW w:w="1843" w:type="dxa"/>
            <w:tcBorders>
              <w:top w:val="nil"/>
              <w:left w:val="single" w:sz="4" w:space="0" w:color="000000"/>
              <w:bottom w:val="single" w:sz="4" w:space="0" w:color="000000"/>
              <w:right w:val="single" w:sz="4" w:space="0" w:color="000000"/>
            </w:tcBorders>
            <w:shd w:val="clear" w:color="auto" w:fill="FFFFFF" w:themeFill="background1"/>
          </w:tcPr>
          <w:p w14:paraId="538F2CB7" w14:textId="77777777" w:rsidR="008B3B71" w:rsidRDefault="008B3B71" w:rsidP="008B3B71">
            <w:pPr>
              <w:spacing w:line="240" w:lineRule="auto"/>
              <w:jc w:val="right"/>
              <w:rPr>
                <w:rFonts w:eastAsia="Times New Roman"/>
                <w:lang w:val="en-PH" w:eastAsia="en-PH"/>
              </w:rPr>
            </w:pPr>
            <w:r>
              <w:t>1,636,103.78</w:t>
            </w:r>
          </w:p>
        </w:tc>
        <w:tc>
          <w:tcPr>
            <w:tcW w:w="992" w:type="dxa"/>
          </w:tcPr>
          <w:p w14:paraId="36B35654" w14:textId="77777777" w:rsidR="008B3B71" w:rsidRDefault="008B3B71" w:rsidP="00341200">
            <w:pPr>
              <w:spacing w:line="240" w:lineRule="auto"/>
              <w:jc w:val="right"/>
              <w:rPr>
                <w:rFonts w:eastAsia="Times New Roman"/>
                <w:lang w:val="en-PH" w:eastAsia="en-PH"/>
              </w:rPr>
            </w:pPr>
            <w:r>
              <w:t>49.09%</w:t>
            </w:r>
          </w:p>
        </w:tc>
        <w:tc>
          <w:tcPr>
            <w:tcW w:w="993" w:type="dxa"/>
          </w:tcPr>
          <w:p w14:paraId="190392EF" w14:textId="77777777" w:rsidR="008B3B71" w:rsidRDefault="008B3B71" w:rsidP="00341200">
            <w:pPr>
              <w:spacing w:line="240" w:lineRule="auto"/>
              <w:jc w:val="right"/>
              <w:rPr>
                <w:rFonts w:eastAsia="Times New Roman"/>
                <w:lang w:val="en-PH" w:eastAsia="en-PH"/>
              </w:rPr>
            </w:pPr>
            <w:r>
              <w:t>69.64%</w:t>
            </w:r>
          </w:p>
        </w:tc>
      </w:tr>
      <w:tr w:rsidR="008B3B71" w14:paraId="1596F9DB" w14:textId="77777777" w:rsidTr="00023229">
        <w:tc>
          <w:tcPr>
            <w:tcW w:w="2978" w:type="dxa"/>
            <w:tcBorders>
              <w:top w:val="nil"/>
              <w:left w:val="single" w:sz="4" w:space="0" w:color="000000"/>
              <w:bottom w:val="single" w:sz="4" w:space="0" w:color="000000"/>
              <w:right w:val="single" w:sz="4" w:space="0" w:color="000000"/>
            </w:tcBorders>
            <w:shd w:val="clear" w:color="auto" w:fill="auto"/>
          </w:tcPr>
          <w:p w14:paraId="65AB3D57" w14:textId="77777777" w:rsidR="008B3B71" w:rsidRPr="008B3B71" w:rsidRDefault="008B3B71" w:rsidP="008B3B71">
            <w:pPr>
              <w:jc w:val="right"/>
              <w:rPr>
                <w:bCs/>
              </w:rPr>
            </w:pPr>
            <w:r w:rsidRPr="008B3B71">
              <w:rPr>
                <w:bCs/>
              </w:rPr>
              <w:t>Current Appropriation</w:t>
            </w:r>
          </w:p>
        </w:tc>
        <w:tc>
          <w:tcPr>
            <w:tcW w:w="1843" w:type="dxa"/>
            <w:tcBorders>
              <w:top w:val="nil"/>
              <w:left w:val="single" w:sz="4" w:space="0" w:color="000000"/>
              <w:bottom w:val="single" w:sz="4" w:space="0" w:color="000000"/>
              <w:right w:val="single" w:sz="4" w:space="0" w:color="000000"/>
            </w:tcBorders>
            <w:shd w:val="clear" w:color="auto" w:fill="FFFFFF" w:themeFill="background1"/>
          </w:tcPr>
          <w:p w14:paraId="755D1129" w14:textId="77777777" w:rsidR="008B3B71" w:rsidRDefault="008B3B71" w:rsidP="008B3B71">
            <w:pPr>
              <w:jc w:val="right"/>
            </w:pPr>
            <w:r>
              <w:t>3,461,201.04</w:t>
            </w:r>
          </w:p>
        </w:tc>
        <w:tc>
          <w:tcPr>
            <w:tcW w:w="1842" w:type="dxa"/>
            <w:tcBorders>
              <w:top w:val="nil"/>
              <w:left w:val="single" w:sz="4" w:space="0" w:color="000000"/>
              <w:bottom w:val="single" w:sz="4" w:space="0" w:color="000000"/>
              <w:right w:val="single" w:sz="4" w:space="0" w:color="000000"/>
            </w:tcBorders>
            <w:shd w:val="clear" w:color="auto" w:fill="FFFFFF" w:themeFill="background1"/>
          </w:tcPr>
          <w:p w14:paraId="0E685AF1" w14:textId="77777777" w:rsidR="008B3B71" w:rsidRDefault="008B3B71" w:rsidP="008B3B71">
            <w:pPr>
              <w:jc w:val="right"/>
            </w:pPr>
            <w:r>
              <w:t>1,239,742.39</w:t>
            </w:r>
          </w:p>
        </w:tc>
        <w:tc>
          <w:tcPr>
            <w:tcW w:w="1843" w:type="dxa"/>
            <w:tcBorders>
              <w:top w:val="nil"/>
              <w:left w:val="single" w:sz="4" w:space="0" w:color="000000"/>
              <w:bottom w:val="single" w:sz="4" w:space="0" w:color="000000"/>
              <w:right w:val="single" w:sz="4" w:space="0" w:color="000000"/>
            </w:tcBorders>
            <w:shd w:val="clear" w:color="auto" w:fill="FFFFFF" w:themeFill="background1"/>
          </w:tcPr>
          <w:p w14:paraId="54758B91" w14:textId="77777777" w:rsidR="008B3B71" w:rsidRDefault="008B3B71" w:rsidP="008B3B71">
            <w:pPr>
              <w:jc w:val="right"/>
            </w:pPr>
            <w:r>
              <w:t>904,296.98</w:t>
            </w:r>
          </w:p>
        </w:tc>
        <w:tc>
          <w:tcPr>
            <w:tcW w:w="992" w:type="dxa"/>
          </w:tcPr>
          <w:p w14:paraId="3C782679" w14:textId="77777777" w:rsidR="008B3B71" w:rsidRDefault="008B3B71" w:rsidP="00341200">
            <w:pPr>
              <w:jc w:val="right"/>
            </w:pPr>
            <w:r>
              <w:t>35.82%</w:t>
            </w:r>
          </w:p>
        </w:tc>
        <w:tc>
          <w:tcPr>
            <w:tcW w:w="993" w:type="dxa"/>
          </w:tcPr>
          <w:p w14:paraId="6868BFE7" w14:textId="77777777" w:rsidR="008B3B71" w:rsidRDefault="008B3B71" w:rsidP="00341200">
            <w:pPr>
              <w:jc w:val="right"/>
            </w:pPr>
            <w:r>
              <w:t>72.94%</w:t>
            </w:r>
          </w:p>
        </w:tc>
      </w:tr>
      <w:tr w:rsidR="008B3B71" w14:paraId="5187A0AF" w14:textId="77777777" w:rsidTr="00023229">
        <w:tc>
          <w:tcPr>
            <w:tcW w:w="2978" w:type="dxa"/>
            <w:tcBorders>
              <w:top w:val="nil"/>
              <w:left w:val="single" w:sz="4" w:space="0" w:color="000000"/>
              <w:bottom w:val="single" w:sz="4" w:space="0" w:color="000000"/>
              <w:right w:val="single" w:sz="4" w:space="0" w:color="000000"/>
            </w:tcBorders>
            <w:shd w:val="clear" w:color="auto" w:fill="auto"/>
          </w:tcPr>
          <w:p w14:paraId="5BFC007A" w14:textId="77777777" w:rsidR="008B3B71" w:rsidRPr="008B3B71" w:rsidRDefault="008B3B71" w:rsidP="008B3B71">
            <w:pPr>
              <w:jc w:val="right"/>
              <w:rPr>
                <w:bCs/>
              </w:rPr>
            </w:pPr>
            <w:r w:rsidRPr="008B3B71">
              <w:rPr>
                <w:bCs/>
              </w:rPr>
              <w:t>Continuing Appropriation</w:t>
            </w:r>
          </w:p>
        </w:tc>
        <w:tc>
          <w:tcPr>
            <w:tcW w:w="1843" w:type="dxa"/>
            <w:tcBorders>
              <w:top w:val="nil"/>
              <w:left w:val="single" w:sz="4" w:space="0" w:color="000000"/>
              <w:bottom w:val="single" w:sz="4" w:space="0" w:color="000000"/>
              <w:right w:val="single" w:sz="4" w:space="0" w:color="000000"/>
            </w:tcBorders>
            <w:shd w:val="clear" w:color="auto" w:fill="FFFFFF" w:themeFill="background1"/>
          </w:tcPr>
          <w:p w14:paraId="6DAB31D1" w14:textId="77777777" w:rsidR="008B3B71" w:rsidRDefault="008B3B71" w:rsidP="008B3B71">
            <w:pPr>
              <w:jc w:val="right"/>
            </w:pPr>
            <w:r>
              <w:t>1,324,087.25</w:t>
            </w:r>
          </w:p>
        </w:tc>
        <w:tc>
          <w:tcPr>
            <w:tcW w:w="1842" w:type="dxa"/>
            <w:tcBorders>
              <w:top w:val="nil"/>
              <w:left w:val="single" w:sz="4" w:space="0" w:color="000000"/>
              <w:bottom w:val="single" w:sz="4" w:space="0" w:color="000000"/>
              <w:right w:val="single" w:sz="4" w:space="0" w:color="000000"/>
            </w:tcBorders>
            <w:shd w:val="clear" w:color="auto" w:fill="FFFFFF" w:themeFill="background1"/>
          </w:tcPr>
          <w:p w14:paraId="5BA31589" w14:textId="77777777" w:rsidR="008B3B71" w:rsidRDefault="008B3B71" w:rsidP="008B3B71">
            <w:pPr>
              <w:jc w:val="right"/>
            </w:pPr>
            <w:r>
              <w:t>1,109,511.14</w:t>
            </w:r>
          </w:p>
        </w:tc>
        <w:tc>
          <w:tcPr>
            <w:tcW w:w="1843" w:type="dxa"/>
            <w:tcBorders>
              <w:top w:val="nil"/>
              <w:left w:val="single" w:sz="4" w:space="0" w:color="000000"/>
              <w:bottom w:val="single" w:sz="4" w:space="0" w:color="000000"/>
              <w:right w:val="single" w:sz="4" w:space="0" w:color="000000"/>
            </w:tcBorders>
            <w:shd w:val="clear" w:color="auto" w:fill="FFFFFF" w:themeFill="background1"/>
          </w:tcPr>
          <w:p w14:paraId="1A7E174B" w14:textId="77777777" w:rsidR="008B3B71" w:rsidRDefault="008B3B71" w:rsidP="008B3B71">
            <w:pPr>
              <w:jc w:val="right"/>
            </w:pPr>
            <w:r>
              <w:t>731,806.80</w:t>
            </w:r>
          </w:p>
        </w:tc>
        <w:tc>
          <w:tcPr>
            <w:tcW w:w="992" w:type="dxa"/>
          </w:tcPr>
          <w:p w14:paraId="725048A6" w14:textId="77777777" w:rsidR="008B3B71" w:rsidRDefault="008B3B71" w:rsidP="00341200">
            <w:pPr>
              <w:jc w:val="right"/>
            </w:pPr>
            <w:r>
              <w:t>83.79%</w:t>
            </w:r>
          </w:p>
        </w:tc>
        <w:tc>
          <w:tcPr>
            <w:tcW w:w="993" w:type="dxa"/>
          </w:tcPr>
          <w:p w14:paraId="0CFFEF2F" w14:textId="77777777" w:rsidR="008B3B71" w:rsidRDefault="008B3B71" w:rsidP="00341200">
            <w:pPr>
              <w:jc w:val="right"/>
            </w:pPr>
            <w:r>
              <w:t>65.96%</w:t>
            </w:r>
          </w:p>
        </w:tc>
      </w:tr>
      <w:tr w:rsidR="0068148D" w14:paraId="75D81370" w14:textId="77777777" w:rsidTr="00023229">
        <w:tc>
          <w:tcPr>
            <w:tcW w:w="2978" w:type="dxa"/>
          </w:tcPr>
          <w:p w14:paraId="5B2C45C5" w14:textId="77777777" w:rsidR="0068148D" w:rsidRPr="00DF233A" w:rsidRDefault="0068148D" w:rsidP="0068148D">
            <w:pPr>
              <w:jc w:val="both"/>
              <w:rPr>
                <w:b/>
                <w:color w:val="000000" w:themeColor="text1"/>
                <w:sz w:val="20"/>
              </w:rPr>
            </w:pPr>
            <w:r w:rsidRPr="00DF233A">
              <w:rPr>
                <w:b/>
                <w:color w:val="000000" w:themeColor="text1"/>
                <w:sz w:val="20"/>
              </w:rPr>
              <w:t>KALAHI CIDDS</w:t>
            </w:r>
          </w:p>
        </w:tc>
        <w:tc>
          <w:tcPr>
            <w:tcW w:w="1843" w:type="dxa"/>
          </w:tcPr>
          <w:p w14:paraId="4C7D7B7F" w14:textId="77777777" w:rsidR="0068148D" w:rsidRPr="00AE4610" w:rsidRDefault="00341200" w:rsidP="0068148D">
            <w:pPr>
              <w:jc w:val="right"/>
              <w:rPr>
                <w:color w:val="000000" w:themeColor="text1"/>
              </w:rPr>
            </w:pPr>
            <w:r>
              <w:t>193,350,020</w:t>
            </w:r>
          </w:p>
        </w:tc>
        <w:tc>
          <w:tcPr>
            <w:tcW w:w="1842" w:type="dxa"/>
          </w:tcPr>
          <w:p w14:paraId="04F78451" w14:textId="77777777" w:rsidR="0068148D" w:rsidRPr="00AE4610" w:rsidRDefault="008B3B71" w:rsidP="0068148D">
            <w:pPr>
              <w:jc w:val="right"/>
              <w:rPr>
                <w:color w:val="000000" w:themeColor="text1"/>
              </w:rPr>
            </w:pPr>
            <w:r>
              <w:t>25,017,542.20</w:t>
            </w:r>
          </w:p>
        </w:tc>
        <w:tc>
          <w:tcPr>
            <w:tcW w:w="1843" w:type="dxa"/>
          </w:tcPr>
          <w:p w14:paraId="269BCE5A" w14:textId="77777777" w:rsidR="0068148D" w:rsidRPr="00AE4610" w:rsidRDefault="008B3B71" w:rsidP="0068148D">
            <w:pPr>
              <w:jc w:val="right"/>
              <w:rPr>
                <w:color w:val="000000" w:themeColor="text1"/>
              </w:rPr>
            </w:pPr>
            <w:r>
              <w:t>23,559,443.50</w:t>
            </w:r>
          </w:p>
        </w:tc>
        <w:tc>
          <w:tcPr>
            <w:tcW w:w="992" w:type="dxa"/>
          </w:tcPr>
          <w:p w14:paraId="42480BA4" w14:textId="77777777" w:rsidR="0068148D" w:rsidRPr="00AE4610" w:rsidRDefault="008B3B71" w:rsidP="00341200">
            <w:pPr>
              <w:jc w:val="right"/>
              <w:rPr>
                <w:b/>
                <w:color w:val="000000" w:themeColor="text1"/>
                <w:sz w:val="20"/>
              </w:rPr>
            </w:pPr>
            <w:r>
              <w:t>12.94%</w:t>
            </w:r>
          </w:p>
        </w:tc>
        <w:tc>
          <w:tcPr>
            <w:tcW w:w="993" w:type="dxa"/>
          </w:tcPr>
          <w:p w14:paraId="60F36E37" w14:textId="77777777" w:rsidR="0068148D" w:rsidRPr="00AE4610" w:rsidRDefault="00341200" w:rsidP="00341200">
            <w:pPr>
              <w:jc w:val="right"/>
              <w:rPr>
                <w:b/>
                <w:color w:val="000000" w:themeColor="text1"/>
                <w:sz w:val="20"/>
              </w:rPr>
            </w:pPr>
            <w:r>
              <w:rPr>
                <w:b/>
                <w:color w:val="000000" w:themeColor="text1"/>
                <w:sz w:val="20"/>
              </w:rPr>
              <w:t>12.18%</w:t>
            </w:r>
          </w:p>
        </w:tc>
      </w:tr>
      <w:tr w:rsidR="00341200" w14:paraId="088EC117" w14:textId="77777777" w:rsidTr="00023229">
        <w:tc>
          <w:tcPr>
            <w:tcW w:w="2978" w:type="dxa"/>
          </w:tcPr>
          <w:p w14:paraId="7D6E9942" w14:textId="77777777" w:rsidR="00341200" w:rsidRPr="00341200" w:rsidRDefault="00341200" w:rsidP="00341200">
            <w:pPr>
              <w:spacing w:line="240" w:lineRule="auto"/>
              <w:rPr>
                <w:rFonts w:eastAsia="Times New Roman"/>
                <w:bCs/>
                <w:lang w:val="en-PH" w:eastAsia="en-PH"/>
              </w:rPr>
            </w:pPr>
            <w:r>
              <w:rPr>
                <w:bCs/>
              </w:rPr>
              <w:t>Kapangyarihan a</w:t>
            </w:r>
            <w:r w:rsidRPr="00341200">
              <w:rPr>
                <w:bCs/>
              </w:rPr>
              <w:t>t Kaunlaran Sa Barangay (KKB)</w:t>
            </w:r>
          </w:p>
        </w:tc>
        <w:tc>
          <w:tcPr>
            <w:tcW w:w="1843" w:type="dxa"/>
          </w:tcPr>
          <w:p w14:paraId="16FA76A2" w14:textId="77777777" w:rsidR="00341200" w:rsidRDefault="00341200" w:rsidP="00341200">
            <w:pPr>
              <w:jc w:val="right"/>
            </w:pPr>
          </w:p>
        </w:tc>
        <w:tc>
          <w:tcPr>
            <w:tcW w:w="1842" w:type="dxa"/>
          </w:tcPr>
          <w:p w14:paraId="21A5EFDB" w14:textId="77777777" w:rsidR="00341200" w:rsidRDefault="00341200" w:rsidP="00341200">
            <w:pPr>
              <w:jc w:val="right"/>
            </w:pPr>
          </w:p>
        </w:tc>
        <w:tc>
          <w:tcPr>
            <w:tcW w:w="1843" w:type="dxa"/>
          </w:tcPr>
          <w:p w14:paraId="75EF7794" w14:textId="77777777" w:rsidR="00341200" w:rsidRDefault="00341200" w:rsidP="00341200">
            <w:pPr>
              <w:jc w:val="right"/>
            </w:pPr>
          </w:p>
        </w:tc>
        <w:tc>
          <w:tcPr>
            <w:tcW w:w="992" w:type="dxa"/>
          </w:tcPr>
          <w:p w14:paraId="7ECB4C7E" w14:textId="77777777" w:rsidR="00341200" w:rsidRDefault="00341200" w:rsidP="00341200">
            <w:pPr>
              <w:jc w:val="right"/>
            </w:pPr>
          </w:p>
        </w:tc>
        <w:tc>
          <w:tcPr>
            <w:tcW w:w="993" w:type="dxa"/>
          </w:tcPr>
          <w:p w14:paraId="584274FC" w14:textId="77777777" w:rsidR="00341200" w:rsidRDefault="00341200" w:rsidP="00341200">
            <w:pPr>
              <w:jc w:val="right"/>
              <w:rPr>
                <w:b/>
                <w:color w:val="000000" w:themeColor="text1"/>
                <w:sz w:val="20"/>
              </w:rPr>
            </w:pPr>
          </w:p>
        </w:tc>
      </w:tr>
      <w:tr w:rsidR="00341200" w14:paraId="7B94E3D5" w14:textId="77777777" w:rsidTr="00023229">
        <w:tc>
          <w:tcPr>
            <w:tcW w:w="2978" w:type="dxa"/>
          </w:tcPr>
          <w:p w14:paraId="67924527" w14:textId="77777777" w:rsidR="00341200" w:rsidRPr="00341200" w:rsidRDefault="00341200" w:rsidP="00341200">
            <w:r w:rsidRPr="00341200">
              <w:t>KKB (CURRENT)</w:t>
            </w:r>
          </w:p>
        </w:tc>
        <w:tc>
          <w:tcPr>
            <w:tcW w:w="1843" w:type="dxa"/>
          </w:tcPr>
          <w:p w14:paraId="7173D30A" w14:textId="77777777" w:rsidR="00341200" w:rsidRDefault="00341200" w:rsidP="00341200">
            <w:pPr>
              <w:spacing w:line="240" w:lineRule="auto"/>
              <w:jc w:val="right"/>
              <w:rPr>
                <w:rFonts w:eastAsia="Times New Roman"/>
                <w:lang w:val="en-PH" w:eastAsia="en-PH"/>
              </w:rPr>
            </w:pPr>
            <w:r>
              <w:t>82,500,000.00</w:t>
            </w:r>
          </w:p>
        </w:tc>
        <w:tc>
          <w:tcPr>
            <w:tcW w:w="1842" w:type="dxa"/>
          </w:tcPr>
          <w:p w14:paraId="037419BA" w14:textId="77777777" w:rsidR="00341200" w:rsidRDefault="00341200" w:rsidP="00341200">
            <w:pPr>
              <w:spacing w:line="240" w:lineRule="auto"/>
              <w:jc w:val="right"/>
              <w:rPr>
                <w:rFonts w:eastAsia="Times New Roman"/>
                <w:lang w:val="en-PH" w:eastAsia="en-PH"/>
              </w:rPr>
            </w:pPr>
            <w:r>
              <w:t>0.00</w:t>
            </w:r>
          </w:p>
        </w:tc>
        <w:tc>
          <w:tcPr>
            <w:tcW w:w="1843" w:type="dxa"/>
          </w:tcPr>
          <w:p w14:paraId="180BA80C" w14:textId="77777777" w:rsidR="00341200" w:rsidRDefault="00341200" w:rsidP="00341200">
            <w:pPr>
              <w:spacing w:line="240" w:lineRule="auto"/>
              <w:jc w:val="right"/>
              <w:rPr>
                <w:rFonts w:eastAsia="Times New Roman"/>
                <w:lang w:val="en-PH" w:eastAsia="en-PH"/>
              </w:rPr>
            </w:pPr>
            <w:r>
              <w:t>0.00</w:t>
            </w:r>
          </w:p>
        </w:tc>
        <w:tc>
          <w:tcPr>
            <w:tcW w:w="992" w:type="dxa"/>
          </w:tcPr>
          <w:p w14:paraId="123AA609" w14:textId="77777777" w:rsidR="00341200" w:rsidRDefault="00341200" w:rsidP="00341200">
            <w:pPr>
              <w:spacing w:line="240" w:lineRule="auto"/>
              <w:jc w:val="center"/>
              <w:rPr>
                <w:rFonts w:eastAsia="Times New Roman"/>
                <w:lang w:val="en-PH" w:eastAsia="en-PH"/>
              </w:rPr>
            </w:pPr>
            <w:r>
              <w:t>0.00%</w:t>
            </w:r>
          </w:p>
        </w:tc>
        <w:tc>
          <w:tcPr>
            <w:tcW w:w="993" w:type="dxa"/>
          </w:tcPr>
          <w:p w14:paraId="6F005A4B" w14:textId="77777777" w:rsidR="00341200" w:rsidRDefault="00341200" w:rsidP="00341200">
            <w:pPr>
              <w:jc w:val="right"/>
              <w:rPr>
                <w:b/>
                <w:color w:val="000000" w:themeColor="text1"/>
                <w:sz w:val="20"/>
              </w:rPr>
            </w:pPr>
          </w:p>
        </w:tc>
      </w:tr>
      <w:tr w:rsidR="00341200" w14:paraId="740D7F11" w14:textId="77777777" w:rsidTr="00023229">
        <w:tc>
          <w:tcPr>
            <w:tcW w:w="2978" w:type="dxa"/>
          </w:tcPr>
          <w:p w14:paraId="19F5547F" w14:textId="77777777" w:rsidR="00341200" w:rsidRPr="00341200" w:rsidRDefault="00341200" w:rsidP="00341200">
            <w:r w:rsidRPr="00341200">
              <w:t>KKB (CONTINUING)</w:t>
            </w:r>
          </w:p>
        </w:tc>
        <w:tc>
          <w:tcPr>
            <w:tcW w:w="1843" w:type="dxa"/>
          </w:tcPr>
          <w:p w14:paraId="73B75830" w14:textId="77777777" w:rsidR="00341200" w:rsidRDefault="00341200" w:rsidP="00341200">
            <w:pPr>
              <w:jc w:val="right"/>
            </w:pPr>
            <w:r>
              <w:t>107,250,020.00</w:t>
            </w:r>
          </w:p>
        </w:tc>
        <w:tc>
          <w:tcPr>
            <w:tcW w:w="1842" w:type="dxa"/>
          </w:tcPr>
          <w:p w14:paraId="5BBF1149" w14:textId="77777777" w:rsidR="00341200" w:rsidRDefault="00341200" w:rsidP="00341200">
            <w:pPr>
              <w:jc w:val="right"/>
            </w:pPr>
            <w:r>
              <w:t>21,777,542.20</w:t>
            </w:r>
          </w:p>
        </w:tc>
        <w:tc>
          <w:tcPr>
            <w:tcW w:w="1843" w:type="dxa"/>
          </w:tcPr>
          <w:p w14:paraId="4C07146E" w14:textId="77777777" w:rsidR="00341200" w:rsidRDefault="00341200" w:rsidP="00341200">
            <w:pPr>
              <w:jc w:val="right"/>
            </w:pPr>
            <w:r>
              <w:t>20,250,000.00</w:t>
            </w:r>
          </w:p>
        </w:tc>
        <w:tc>
          <w:tcPr>
            <w:tcW w:w="992" w:type="dxa"/>
          </w:tcPr>
          <w:p w14:paraId="46A7A3EA" w14:textId="77777777" w:rsidR="00341200" w:rsidRPr="00EA02E8" w:rsidRDefault="00341200" w:rsidP="00341200">
            <w:pPr>
              <w:jc w:val="center"/>
            </w:pPr>
            <w:r w:rsidRPr="00EA02E8">
              <w:t>20.31%</w:t>
            </w:r>
          </w:p>
        </w:tc>
        <w:tc>
          <w:tcPr>
            <w:tcW w:w="993" w:type="dxa"/>
          </w:tcPr>
          <w:p w14:paraId="28482DB0" w14:textId="77777777" w:rsidR="00341200" w:rsidRPr="00EA02E8" w:rsidRDefault="00341200" w:rsidP="00341200">
            <w:pPr>
              <w:jc w:val="right"/>
              <w:rPr>
                <w:color w:val="000000" w:themeColor="text1"/>
                <w:sz w:val="20"/>
              </w:rPr>
            </w:pPr>
            <w:r w:rsidRPr="00EA02E8">
              <w:rPr>
                <w:color w:val="000000" w:themeColor="text1"/>
                <w:sz w:val="20"/>
              </w:rPr>
              <w:t>18.88%</w:t>
            </w:r>
          </w:p>
        </w:tc>
      </w:tr>
      <w:tr w:rsidR="00341200" w14:paraId="7D243CDB" w14:textId="77777777" w:rsidTr="00023229">
        <w:tc>
          <w:tcPr>
            <w:tcW w:w="2978" w:type="dxa"/>
          </w:tcPr>
          <w:p w14:paraId="44D0AFFA" w14:textId="77777777" w:rsidR="00341200" w:rsidRPr="00341200" w:rsidRDefault="00341200" w:rsidP="00341200">
            <w:pPr>
              <w:rPr>
                <w:bCs/>
              </w:rPr>
            </w:pPr>
            <w:r>
              <w:rPr>
                <w:bCs/>
              </w:rPr>
              <w:t>Payapa a</w:t>
            </w:r>
            <w:r w:rsidRPr="00341200">
              <w:rPr>
                <w:bCs/>
              </w:rPr>
              <w:t>t Masaganang Pamayanan (PAMANA)</w:t>
            </w:r>
          </w:p>
        </w:tc>
        <w:tc>
          <w:tcPr>
            <w:tcW w:w="1843" w:type="dxa"/>
          </w:tcPr>
          <w:p w14:paraId="14FBECF4" w14:textId="77777777" w:rsidR="00341200" w:rsidRDefault="00341200" w:rsidP="00341200">
            <w:pPr>
              <w:jc w:val="right"/>
            </w:pPr>
          </w:p>
        </w:tc>
        <w:tc>
          <w:tcPr>
            <w:tcW w:w="1842" w:type="dxa"/>
          </w:tcPr>
          <w:p w14:paraId="1FBE0C08" w14:textId="77777777" w:rsidR="00341200" w:rsidRDefault="00341200" w:rsidP="00341200">
            <w:pPr>
              <w:jc w:val="right"/>
            </w:pPr>
          </w:p>
        </w:tc>
        <w:tc>
          <w:tcPr>
            <w:tcW w:w="1843" w:type="dxa"/>
          </w:tcPr>
          <w:p w14:paraId="58E05C02" w14:textId="77777777" w:rsidR="00341200" w:rsidRDefault="00341200" w:rsidP="00341200">
            <w:pPr>
              <w:jc w:val="right"/>
            </w:pPr>
          </w:p>
        </w:tc>
        <w:tc>
          <w:tcPr>
            <w:tcW w:w="992" w:type="dxa"/>
          </w:tcPr>
          <w:p w14:paraId="32368F0C" w14:textId="77777777" w:rsidR="00341200" w:rsidRPr="00EA02E8" w:rsidRDefault="00341200" w:rsidP="00341200">
            <w:pPr>
              <w:jc w:val="center"/>
            </w:pPr>
          </w:p>
        </w:tc>
        <w:tc>
          <w:tcPr>
            <w:tcW w:w="993" w:type="dxa"/>
          </w:tcPr>
          <w:p w14:paraId="721A7C6C" w14:textId="77777777" w:rsidR="00341200" w:rsidRPr="00EA02E8" w:rsidRDefault="00341200" w:rsidP="00341200">
            <w:pPr>
              <w:jc w:val="right"/>
              <w:rPr>
                <w:color w:val="000000" w:themeColor="text1"/>
                <w:sz w:val="20"/>
              </w:rPr>
            </w:pPr>
          </w:p>
        </w:tc>
      </w:tr>
      <w:tr w:rsidR="00341200" w14:paraId="282AC15F" w14:textId="77777777" w:rsidTr="00023229">
        <w:tc>
          <w:tcPr>
            <w:tcW w:w="2978" w:type="dxa"/>
          </w:tcPr>
          <w:p w14:paraId="723FA70D" w14:textId="77777777" w:rsidR="00341200" w:rsidRPr="00341200" w:rsidRDefault="00341200" w:rsidP="00341200">
            <w:r w:rsidRPr="00341200">
              <w:t>PAMANA (CURRENT)</w:t>
            </w:r>
          </w:p>
        </w:tc>
        <w:tc>
          <w:tcPr>
            <w:tcW w:w="1843" w:type="dxa"/>
          </w:tcPr>
          <w:p w14:paraId="0EF8838E" w14:textId="77777777" w:rsidR="00341200" w:rsidRDefault="00341200" w:rsidP="00341200">
            <w:pPr>
              <w:jc w:val="right"/>
            </w:pPr>
            <w:r>
              <w:t>3,582,063.35</w:t>
            </w:r>
          </w:p>
        </w:tc>
        <w:tc>
          <w:tcPr>
            <w:tcW w:w="1842" w:type="dxa"/>
          </w:tcPr>
          <w:p w14:paraId="6EDB8C5D" w14:textId="77777777" w:rsidR="00341200" w:rsidRDefault="00341200" w:rsidP="00341200">
            <w:pPr>
              <w:jc w:val="right"/>
            </w:pPr>
            <w:r>
              <w:t>3,291,506.85</w:t>
            </w:r>
          </w:p>
        </w:tc>
        <w:tc>
          <w:tcPr>
            <w:tcW w:w="1843" w:type="dxa"/>
          </w:tcPr>
          <w:p w14:paraId="77A4CB4F" w14:textId="77777777" w:rsidR="00341200" w:rsidRDefault="00341200" w:rsidP="00341200">
            <w:pPr>
              <w:jc w:val="right"/>
            </w:pPr>
            <w:r>
              <w:t>3,222,063.35</w:t>
            </w:r>
          </w:p>
        </w:tc>
        <w:tc>
          <w:tcPr>
            <w:tcW w:w="992" w:type="dxa"/>
          </w:tcPr>
          <w:p w14:paraId="08189BE6" w14:textId="77777777" w:rsidR="00341200" w:rsidRPr="00EA02E8" w:rsidRDefault="00341200" w:rsidP="00341200">
            <w:pPr>
              <w:jc w:val="center"/>
            </w:pPr>
            <w:r w:rsidRPr="00EA02E8">
              <w:rPr>
                <w:color w:val="000000" w:themeColor="text1"/>
                <w:sz w:val="20"/>
              </w:rPr>
              <w:t>91.88%</w:t>
            </w:r>
          </w:p>
        </w:tc>
        <w:tc>
          <w:tcPr>
            <w:tcW w:w="993" w:type="dxa"/>
          </w:tcPr>
          <w:p w14:paraId="33218652" w14:textId="77777777" w:rsidR="00341200" w:rsidRPr="00EA02E8" w:rsidRDefault="00341200" w:rsidP="00341200">
            <w:pPr>
              <w:jc w:val="right"/>
              <w:rPr>
                <w:color w:val="000000" w:themeColor="text1"/>
                <w:sz w:val="20"/>
              </w:rPr>
            </w:pPr>
            <w:r w:rsidRPr="00EA02E8">
              <w:t>89.95%</w:t>
            </w:r>
          </w:p>
        </w:tc>
      </w:tr>
      <w:tr w:rsidR="00341200" w14:paraId="555A7A4C" w14:textId="77777777" w:rsidTr="00023229">
        <w:tc>
          <w:tcPr>
            <w:tcW w:w="2978" w:type="dxa"/>
          </w:tcPr>
          <w:p w14:paraId="0B491B3A" w14:textId="77777777" w:rsidR="00341200" w:rsidRPr="00341200" w:rsidRDefault="00341200" w:rsidP="00341200">
            <w:r w:rsidRPr="00341200">
              <w:t>PAMANA (CONTINUING)</w:t>
            </w:r>
          </w:p>
        </w:tc>
        <w:tc>
          <w:tcPr>
            <w:tcW w:w="1843" w:type="dxa"/>
          </w:tcPr>
          <w:p w14:paraId="0EA63F03" w14:textId="77777777" w:rsidR="00341200" w:rsidRDefault="00341200" w:rsidP="00341200">
            <w:pPr>
              <w:jc w:val="right"/>
            </w:pPr>
            <w:r>
              <w:t>17,936.65</w:t>
            </w:r>
          </w:p>
        </w:tc>
        <w:tc>
          <w:tcPr>
            <w:tcW w:w="1842" w:type="dxa"/>
          </w:tcPr>
          <w:p w14:paraId="1ACC1FBF" w14:textId="77777777" w:rsidR="00341200" w:rsidRDefault="00341200" w:rsidP="00341200">
            <w:pPr>
              <w:jc w:val="right"/>
            </w:pPr>
            <w:r>
              <w:t>17,936.65</w:t>
            </w:r>
          </w:p>
        </w:tc>
        <w:tc>
          <w:tcPr>
            <w:tcW w:w="1843" w:type="dxa"/>
          </w:tcPr>
          <w:p w14:paraId="23EAAB12" w14:textId="77777777" w:rsidR="00341200" w:rsidRDefault="00341200" w:rsidP="00341200">
            <w:pPr>
              <w:jc w:val="right"/>
            </w:pPr>
            <w:r>
              <w:t>17,936.65</w:t>
            </w:r>
          </w:p>
        </w:tc>
        <w:tc>
          <w:tcPr>
            <w:tcW w:w="992" w:type="dxa"/>
          </w:tcPr>
          <w:p w14:paraId="7CB18C5B" w14:textId="77777777" w:rsidR="00341200" w:rsidRDefault="00B73D8C" w:rsidP="00341200">
            <w:pPr>
              <w:jc w:val="center"/>
            </w:pPr>
            <w:r>
              <w:t>100</w:t>
            </w:r>
            <w:r w:rsidR="00341200">
              <w:t>%</w:t>
            </w:r>
          </w:p>
        </w:tc>
        <w:tc>
          <w:tcPr>
            <w:tcW w:w="993" w:type="dxa"/>
          </w:tcPr>
          <w:p w14:paraId="42626F74" w14:textId="77777777" w:rsidR="00341200" w:rsidRDefault="00341200" w:rsidP="00341200">
            <w:pPr>
              <w:jc w:val="right"/>
              <w:rPr>
                <w:b/>
                <w:color w:val="000000" w:themeColor="text1"/>
                <w:sz w:val="20"/>
              </w:rPr>
            </w:pPr>
            <w:r>
              <w:t>100.00%</w:t>
            </w:r>
          </w:p>
        </w:tc>
      </w:tr>
      <w:tr w:rsidR="0068148D" w14:paraId="101CADF7" w14:textId="77777777" w:rsidTr="00023229">
        <w:tc>
          <w:tcPr>
            <w:tcW w:w="2978" w:type="dxa"/>
          </w:tcPr>
          <w:p w14:paraId="0B12A88E" w14:textId="77777777" w:rsidR="0068148D" w:rsidRPr="00DF233A" w:rsidRDefault="0068148D" w:rsidP="0068148D">
            <w:pPr>
              <w:jc w:val="both"/>
              <w:rPr>
                <w:b/>
                <w:color w:val="000000" w:themeColor="text1"/>
                <w:sz w:val="20"/>
              </w:rPr>
            </w:pPr>
            <w:r w:rsidRPr="00DF233A">
              <w:rPr>
                <w:b/>
                <w:color w:val="000000" w:themeColor="text1"/>
                <w:sz w:val="20"/>
              </w:rPr>
              <w:t>Residential and Non-Residential Care Facilities</w:t>
            </w:r>
          </w:p>
        </w:tc>
        <w:tc>
          <w:tcPr>
            <w:tcW w:w="1843" w:type="dxa"/>
          </w:tcPr>
          <w:p w14:paraId="65D8F51F" w14:textId="77777777" w:rsidR="0068148D" w:rsidRDefault="0068148D" w:rsidP="0068148D">
            <w:pPr>
              <w:ind w:left="-567"/>
              <w:jc w:val="both"/>
              <w:rPr>
                <w:b/>
                <w:color w:val="000000" w:themeColor="text1"/>
              </w:rPr>
            </w:pPr>
          </w:p>
        </w:tc>
        <w:tc>
          <w:tcPr>
            <w:tcW w:w="1842" w:type="dxa"/>
          </w:tcPr>
          <w:p w14:paraId="4F40A68A" w14:textId="77777777" w:rsidR="0068148D" w:rsidRDefault="0068148D" w:rsidP="0068148D">
            <w:pPr>
              <w:jc w:val="both"/>
              <w:rPr>
                <w:b/>
                <w:color w:val="000000" w:themeColor="text1"/>
              </w:rPr>
            </w:pPr>
          </w:p>
        </w:tc>
        <w:tc>
          <w:tcPr>
            <w:tcW w:w="1843" w:type="dxa"/>
          </w:tcPr>
          <w:p w14:paraId="7E41D4C5" w14:textId="77777777" w:rsidR="0068148D" w:rsidRDefault="0068148D" w:rsidP="0068148D">
            <w:pPr>
              <w:jc w:val="both"/>
              <w:rPr>
                <w:b/>
                <w:color w:val="000000" w:themeColor="text1"/>
              </w:rPr>
            </w:pPr>
          </w:p>
        </w:tc>
        <w:tc>
          <w:tcPr>
            <w:tcW w:w="992" w:type="dxa"/>
          </w:tcPr>
          <w:p w14:paraId="3E8C8533" w14:textId="77777777" w:rsidR="0068148D" w:rsidRDefault="0068148D" w:rsidP="0068148D">
            <w:pPr>
              <w:jc w:val="both"/>
              <w:rPr>
                <w:b/>
                <w:color w:val="000000" w:themeColor="text1"/>
              </w:rPr>
            </w:pPr>
          </w:p>
        </w:tc>
        <w:tc>
          <w:tcPr>
            <w:tcW w:w="993" w:type="dxa"/>
          </w:tcPr>
          <w:p w14:paraId="2FDEC447" w14:textId="77777777" w:rsidR="0068148D" w:rsidRDefault="0068148D" w:rsidP="0068148D">
            <w:pPr>
              <w:jc w:val="both"/>
              <w:rPr>
                <w:b/>
                <w:color w:val="000000" w:themeColor="text1"/>
              </w:rPr>
            </w:pPr>
          </w:p>
        </w:tc>
      </w:tr>
      <w:tr w:rsidR="00341200" w14:paraId="48A8783E" w14:textId="77777777" w:rsidTr="00023229">
        <w:tc>
          <w:tcPr>
            <w:tcW w:w="2978" w:type="dxa"/>
            <w:tcBorders>
              <w:top w:val="single" w:sz="4" w:space="0" w:color="000000"/>
              <w:left w:val="single" w:sz="4" w:space="0" w:color="000000"/>
              <w:bottom w:val="single" w:sz="4" w:space="0" w:color="000000"/>
              <w:right w:val="nil"/>
            </w:tcBorders>
            <w:shd w:val="clear" w:color="auto" w:fill="auto"/>
            <w:vAlign w:val="bottom"/>
          </w:tcPr>
          <w:p w14:paraId="374A8BDC" w14:textId="77777777" w:rsidR="00341200" w:rsidRDefault="00341200" w:rsidP="0068148D">
            <w:pPr>
              <w:rPr>
                <w:color w:val="000000"/>
              </w:rPr>
            </w:pPr>
            <w:r>
              <w:rPr>
                <w:color w:val="000000"/>
              </w:rPr>
              <w:t>Current Funds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E45A6D" w14:textId="77777777" w:rsidR="00341200" w:rsidRDefault="00341200" w:rsidP="0068148D">
            <w:pPr>
              <w:jc w:val="right"/>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6DE9D3" w14:textId="77777777" w:rsidR="00341200" w:rsidRDefault="00341200" w:rsidP="0068148D">
            <w:pPr>
              <w:jc w:val="right"/>
              <w:rPr>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B048E0" w14:textId="77777777" w:rsidR="00341200" w:rsidRDefault="00341200" w:rsidP="0068148D">
            <w:pPr>
              <w:jc w:val="right"/>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E891B7" w14:textId="77777777" w:rsidR="00341200" w:rsidRDefault="00341200" w:rsidP="0068148D">
            <w:pPr>
              <w:jc w:val="right"/>
              <w:rPr>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2AF93D" w14:textId="77777777" w:rsidR="00341200" w:rsidRDefault="00341200" w:rsidP="0068148D">
            <w:pPr>
              <w:jc w:val="right"/>
              <w:rPr>
                <w:color w:val="000000"/>
              </w:rPr>
            </w:pPr>
          </w:p>
        </w:tc>
      </w:tr>
      <w:tr w:rsidR="002E771E" w14:paraId="460C1346" w14:textId="77777777" w:rsidTr="00023229">
        <w:tc>
          <w:tcPr>
            <w:tcW w:w="2978" w:type="dxa"/>
            <w:tcBorders>
              <w:top w:val="single" w:sz="4" w:space="0" w:color="000000"/>
              <w:left w:val="single" w:sz="4" w:space="0" w:color="000000"/>
              <w:bottom w:val="single" w:sz="4" w:space="0" w:color="000000"/>
              <w:right w:val="nil"/>
            </w:tcBorders>
            <w:shd w:val="clear" w:color="auto" w:fill="auto"/>
            <w:vAlign w:val="bottom"/>
          </w:tcPr>
          <w:p w14:paraId="0219CFA0" w14:textId="77777777" w:rsidR="002E771E" w:rsidRDefault="002E771E" w:rsidP="002E771E">
            <w:pPr>
              <w:rPr>
                <w:color w:val="000000"/>
              </w:rPr>
            </w:pPr>
            <w:r>
              <w:rPr>
                <w:color w:val="000000"/>
              </w:rPr>
              <w:t>Regional Haven for Women and Girls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ECC39" w14:textId="77777777" w:rsidR="002E771E" w:rsidRDefault="002E771E" w:rsidP="002E771E">
            <w:pPr>
              <w:spacing w:line="240" w:lineRule="auto"/>
              <w:jc w:val="right"/>
              <w:rPr>
                <w:rFonts w:eastAsia="Times New Roman"/>
                <w:lang w:val="en-PH" w:eastAsia="en-PH"/>
              </w:rPr>
            </w:pPr>
            <w:r>
              <w:t>10,745,092.00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D68CD" w14:textId="77777777" w:rsidR="002E771E" w:rsidRDefault="002E771E" w:rsidP="002E771E">
            <w:pPr>
              <w:spacing w:line="240" w:lineRule="auto"/>
              <w:jc w:val="right"/>
              <w:rPr>
                <w:rFonts w:eastAsia="Times New Roman"/>
                <w:lang w:val="en-PH" w:eastAsia="en-PH"/>
              </w:rPr>
            </w:pPr>
            <w:r>
              <w:t>3,819,740.98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1A2C87" w14:textId="77777777" w:rsidR="002E771E" w:rsidRDefault="002E771E" w:rsidP="002E771E">
            <w:pPr>
              <w:spacing w:line="240" w:lineRule="auto"/>
              <w:jc w:val="right"/>
              <w:rPr>
                <w:rFonts w:eastAsia="Times New Roman"/>
                <w:lang w:val="en-PH" w:eastAsia="en-PH"/>
              </w:rPr>
            </w:pPr>
            <w:r>
              <w:t>2,806,626.04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B2FC0" w14:textId="77777777" w:rsidR="002E771E" w:rsidRDefault="002E771E" w:rsidP="002E771E">
            <w:pPr>
              <w:spacing w:line="240" w:lineRule="auto"/>
              <w:jc w:val="right"/>
              <w:rPr>
                <w:rFonts w:eastAsia="Times New Roman"/>
                <w:lang w:val="en-PH" w:eastAsia="en-PH"/>
              </w:rPr>
            </w:pPr>
            <w:r>
              <w:t>21.78%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D3CA7E" w14:textId="77777777" w:rsidR="002E771E" w:rsidRDefault="002E771E" w:rsidP="002E771E">
            <w:pPr>
              <w:spacing w:line="240" w:lineRule="auto"/>
              <w:jc w:val="right"/>
              <w:rPr>
                <w:rFonts w:eastAsia="Times New Roman"/>
                <w:lang w:val="en-PH" w:eastAsia="en-PH"/>
              </w:rPr>
            </w:pPr>
            <w:r>
              <w:t>26.12%</w:t>
            </w:r>
          </w:p>
        </w:tc>
      </w:tr>
      <w:tr w:rsidR="002E771E" w14:paraId="59B7774D" w14:textId="77777777" w:rsidTr="00023229">
        <w:tc>
          <w:tcPr>
            <w:tcW w:w="2978" w:type="dxa"/>
            <w:tcBorders>
              <w:top w:val="nil"/>
              <w:left w:val="single" w:sz="4" w:space="0" w:color="000000"/>
              <w:bottom w:val="single" w:sz="4" w:space="0" w:color="000000"/>
              <w:right w:val="nil"/>
            </w:tcBorders>
            <w:shd w:val="clear" w:color="auto" w:fill="auto"/>
            <w:vAlign w:val="bottom"/>
          </w:tcPr>
          <w:p w14:paraId="584C338E" w14:textId="77777777" w:rsidR="002E771E" w:rsidRDefault="002E771E" w:rsidP="002E771E">
            <w:pPr>
              <w:rPr>
                <w:color w:val="000000"/>
              </w:rPr>
            </w:pPr>
            <w:r>
              <w:rPr>
                <w:color w:val="000000"/>
              </w:rPr>
              <w:t>Reception and Study Center for Children</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7E62A13A" w14:textId="77777777" w:rsidR="002E771E" w:rsidRDefault="002E771E" w:rsidP="002E771E">
            <w:pPr>
              <w:jc w:val="right"/>
            </w:pPr>
            <w:r>
              <w:t>8,749,762.00</w:t>
            </w:r>
          </w:p>
        </w:tc>
        <w:tc>
          <w:tcPr>
            <w:tcW w:w="1842" w:type="dxa"/>
            <w:tcBorders>
              <w:top w:val="nil"/>
              <w:left w:val="single" w:sz="4" w:space="0" w:color="000000"/>
              <w:bottom w:val="single" w:sz="4" w:space="0" w:color="000000"/>
              <w:right w:val="single" w:sz="4" w:space="0" w:color="000000"/>
            </w:tcBorders>
            <w:shd w:val="clear" w:color="auto" w:fill="auto"/>
            <w:vAlign w:val="bottom"/>
          </w:tcPr>
          <w:p w14:paraId="28D03BB0" w14:textId="77777777" w:rsidR="002E771E" w:rsidRDefault="002E771E" w:rsidP="002E771E">
            <w:pPr>
              <w:jc w:val="right"/>
            </w:pPr>
            <w:r>
              <w:t>4,800,360.13</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578E8E1A" w14:textId="77777777" w:rsidR="002E771E" w:rsidRDefault="002E771E" w:rsidP="002E771E">
            <w:pPr>
              <w:jc w:val="right"/>
            </w:pPr>
            <w:r>
              <w:t>3,182,366.36</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12EE5A02" w14:textId="77777777" w:rsidR="002E771E" w:rsidRDefault="002E771E" w:rsidP="002E771E">
            <w:pPr>
              <w:jc w:val="right"/>
            </w:pPr>
            <w:r>
              <w:t>36.02%</w:t>
            </w:r>
          </w:p>
        </w:tc>
        <w:tc>
          <w:tcPr>
            <w:tcW w:w="993" w:type="dxa"/>
            <w:tcBorders>
              <w:top w:val="nil"/>
              <w:left w:val="single" w:sz="4" w:space="0" w:color="000000"/>
              <w:bottom w:val="single" w:sz="4" w:space="0" w:color="000000"/>
              <w:right w:val="single" w:sz="4" w:space="0" w:color="000000"/>
            </w:tcBorders>
            <w:shd w:val="clear" w:color="auto" w:fill="auto"/>
            <w:vAlign w:val="bottom"/>
          </w:tcPr>
          <w:p w14:paraId="5CFFBB0B" w14:textId="77777777" w:rsidR="002E771E" w:rsidRDefault="002E771E" w:rsidP="002E771E">
            <w:pPr>
              <w:jc w:val="right"/>
            </w:pPr>
            <w:r>
              <w:t>36.37%</w:t>
            </w:r>
          </w:p>
        </w:tc>
      </w:tr>
      <w:tr w:rsidR="002E771E" w14:paraId="316031E2" w14:textId="77777777" w:rsidTr="00023229">
        <w:tc>
          <w:tcPr>
            <w:tcW w:w="2978" w:type="dxa"/>
            <w:tcBorders>
              <w:top w:val="nil"/>
              <w:left w:val="single" w:sz="4" w:space="0" w:color="000000"/>
              <w:bottom w:val="single" w:sz="4" w:space="0" w:color="000000"/>
              <w:right w:val="nil"/>
            </w:tcBorders>
            <w:shd w:val="clear" w:color="auto" w:fill="auto"/>
            <w:vAlign w:val="bottom"/>
          </w:tcPr>
          <w:p w14:paraId="6E68AACC" w14:textId="77777777" w:rsidR="002E771E" w:rsidRDefault="002E771E" w:rsidP="002E771E">
            <w:pPr>
              <w:rPr>
                <w:color w:val="000000"/>
              </w:rPr>
            </w:pPr>
            <w:r>
              <w:rPr>
                <w:color w:val="000000"/>
              </w:rPr>
              <w:t xml:space="preserve">Cagayan valley Regional Rehabilitation for Children </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406D4E8B" w14:textId="77777777" w:rsidR="002E771E" w:rsidRDefault="002E771E" w:rsidP="002E771E">
            <w:pPr>
              <w:jc w:val="right"/>
            </w:pPr>
            <w:r>
              <w:t>12,137,951.00</w:t>
            </w:r>
          </w:p>
        </w:tc>
        <w:tc>
          <w:tcPr>
            <w:tcW w:w="1842" w:type="dxa"/>
            <w:tcBorders>
              <w:top w:val="nil"/>
              <w:left w:val="single" w:sz="4" w:space="0" w:color="000000"/>
              <w:bottom w:val="single" w:sz="4" w:space="0" w:color="000000"/>
              <w:right w:val="single" w:sz="4" w:space="0" w:color="000000"/>
            </w:tcBorders>
            <w:shd w:val="clear" w:color="auto" w:fill="auto"/>
            <w:vAlign w:val="bottom"/>
          </w:tcPr>
          <w:p w14:paraId="3C6AFCD8" w14:textId="77777777" w:rsidR="002E771E" w:rsidRDefault="002E771E" w:rsidP="002E771E">
            <w:pPr>
              <w:jc w:val="right"/>
            </w:pPr>
            <w:r>
              <w:t>7,294,800.29</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F72B5D8" w14:textId="77777777" w:rsidR="002E771E" w:rsidRDefault="002E771E" w:rsidP="002E771E">
            <w:pPr>
              <w:jc w:val="right"/>
            </w:pPr>
            <w:r>
              <w:t>4,087,807.85</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1EB71555" w14:textId="77777777" w:rsidR="002E771E" w:rsidRDefault="002E771E" w:rsidP="002E771E">
            <w:pPr>
              <w:jc w:val="right"/>
            </w:pPr>
            <w:r>
              <w:t>47.00%</w:t>
            </w:r>
          </w:p>
        </w:tc>
        <w:tc>
          <w:tcPr>
            <w:tcW w:w="993" w:type="dxa"/>
            <w:tcBorders>
              <w:top w:val="nil"/>
              <w:left w:val="single" w:sz="4" w:space="0" w:color="000000"/>
              <w:bottom w:val="single" w:sz="4" w:space="0" w:color="000000"/>
              <w:right w:val="single" w:sz="4" w:space="0" w:color="000000"/>
            </w:tcBorders>
            <w:shd w:val="clear" w:color="auto" w:fill="auto"/>
            <w:vAlign w:val="bottom"/>
          </w:tcPr>
          <w:p w14:paraId="70BA2D13" w14:textId="77777777" w:rsidR="002E771E" w:rsidRDefault="002E771E" w:rsidP="002E771E">
            <w:pPr>
              <w:jc w:val="right"/>
            </w:pPr>
            <w:r>
              <w:t>33.68%</w:t>
            </w:r>
          </w:p>
        </w:tc>
      </w:tr>
      <w:tr w:rsidR="002E771E" w14:paraId="159B97DB" w14:textId="77777777" w:rsidTr="00023229">
        <w:tc>
          <w:tcPr>
            <w:tcW w:w="2978" w:type="dxa"/>
            <w:tcBorders>
              <w:top w:val="nil"/>
              <w:left w:val="single" w:sz="4" w:space="0" w:color="000000"/>
              <w:bottom w:val="single" w:sz="4" w:space="0" w:color="000000"/>
              <w:right w:val="nil"/>
            </w:tcBorders>
            <w:shd w:val="clear" w:color="auto" w:fill="auto"/>
            <w:vAlign w:val="bottom"/>
          </w:tcPr>
          <w:p w14:paraId="526667DE" w14:textId="77777777" w:rsidR="002E771E" w:rsidRDefault="002E771E" w:rsidP="002E771E">
            <w:pPr>
              <w:rPr>
                <w:color w:val="000000"/>
              </w:rPr>
            </w:pPr>
            <w:r>
              <w:rPr>
                <w:color w:val="000000"/>
              </w:rPr>
              <w:t>Current Funds</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DAB9567" w14:textId="77777777" w:rsidR="002E771E" w:rsidRDefault="002E771E" w:rsidP="002E771E">
            <w:pPr>
              <w:jc w:val="right"/>
            </w:pPr>
          </w:p>
        </w:tc>
        <w:tc>
          <w:tcPr>
            <w:tcW w:w="1842" w:type="dxa"/>
            <w:tcBorders>
              <w:top w:val="nil"/>
              <w:left w:val="single" w:sz="4" w:space="0" w:color="000000"/>
              <w:bottom w:val="single" w:sz="4" w:space="0" w:color="000000"/>
              <w:right w:val="single" w:sz="4" w:space="0" w:color="000000"/>
            </w:tcBorders>
            <w:shd w:val="clear" w:color="auto" w:fill="auto"/>
            <w:vAlign w:val="bottom"/>
          </w:tcPr>
          <w:p w14:paraId="7A8F5D84" w14:textId="77777777" w:rsidR="002E771E" w:rsidRDefault="002E771E" w:rsidP="002E771E">
            <w:pPr>
              <w:jc w:val="right"/>
            </w:pP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9038DA2" w14:textId="77777777" w:rsidR="002E771E" w:rsidRDefault="002E771E" w:rsidP="002E771E">
            <w:pPr>
              <w:jc w:val="right"/>
            </w:pPr>
          </w:p>
        </w:tc>
        <w:tc>
          <w:tcPr>
            <w:tcW w:w="992" w:type="dxa"/>
            <w:tcBorders>
              <w:top w:val="nil"/>
              <w:left w:val="single" w:sz="4" w:space="0" w:color="000000"/>
              <w:bottom w:val="single" w:sz="4" w:space="0" w:color="000000"/>
              <w:right w:val="single" w:sz="4" w:space="0" w:color="000000"/>
            </w:tcBorders>
            <w:shd w:val="clear" w:color="auto" w:fill="auto"/>
            <w:vAlign w:val="bottom"/>
          </w:tcPr>
          <w:p w14:paraId="485D6348" w14:textId="77777777" w:rsidR="002E771E" w:rsidRDefault="002E771E" w:rsidP="002E771E">
            <w:pPr>
              <w:jc w:val="right"/>
            </w:pPr>
          </w:p>
        </w:tc>
        <w:tc>
          <w:tcPr>
            <w:tcW w:w="993" w:type="dxa"/>
            <w:tcBorders>
              <w:top w:val="nil"/>
              <w:left w:val="single" w:sz="4" w:space="0" w:color="000000"/>
              <w:bottom w:val="single" w:sz="4" w:space="0" w:color="000000"/>
              <w:right w:val="single" w:sz="4" w:space="0" w:color="000000"/>
            </w:tcBorders>
            <w:shd w:val="clear" w:color="auto" w:fill="auto"/>
            <w:vAlign w:val="bottom"/>
          </w:tcPr>
          <w:p w14:paraId="41B69C6B" w14:textId="77777777" w:rsidR="002E771E" w:rsidRDefault="002E771E" w:rsidP="002E771E">
            <w:pPr>
              <w:jc w:val="right"/>
            </w:pPr>
          </w:p>
        </w:tc>
      </w:tr>
      <w:tr w:rsidR="002E771E" w14:paraId="673574F4" w14:textId="77777777" w:rsidTr="00023229">
        <w:tc>
          <w:tcPr>
            <w:tcW w:w="2978" w:type="dxa"/>
            <w:tcBorders>
              <w:top w:val="nil"/>
              <w:left w:val="single" w:sz="4" w:space="0" w:color="000000"/>
              <w:bottom w:val="single" w:sz="4" w:space="0" w:color="000000"/>
              <w:right w:val="nil"/>
            </w:tcBorders>
            <w:shd w:val="clear" w:color="auto" w:fill="auto"/>
            <w:vAlign w:val="bottom"/>
          </w:tcPr>
          <w:p w14:paraId="0D1D5E04" w14:textId="77777777" w:rsidR="002E771E" w:rsidRDefault="002E771E" w:rsidP="002E771E">
            <w:pPr>
              <w:rPr>
                <w:color w:val="000000"/>
              </w:rPr>
            </w:pPr>
            <w:r>
              <w:rPr>
                <w:color w:val="000000"/>
              </w:rPr>
              <w:t>Regional Haven for Women and Girls</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AAC6E6F" w14:textId="77777777" w:rsidR="002E771E" w:rsidRDefault="002E771E" w:rsidP="002E771E">
            <w:pPr>
              <w:jc w:val="right"/>
            </w:pPr>
            <w:r>
              <w:t>264,761.85</w:t>
            </w:r>
          </w:p>
        </w:tc>
        <w:tc>
          <w:tcPr>
            <w:tcW w:w="1842" w:type="dxa"/>
            <w:tcBorders>
              <w:top w:val="nil"/>
              <w:left w:val="single" w:sz="4" w:space="0" w:color="000000"/>
              <w:bottom w:val="single" w:sz="4" w:space="0" w:color="000000"/>
              <w:right w:val="single" w:sz="4" w:space="0" w:color="000000"/>
            </w:tcBorders>
            <w:shd w:val="clear" w:color="auto" w:fill="auto"/>
            <w:vAlign w:val="bottom"/>
          </w:tcPr>
          <w:p w14:paraId="04156DE5" w14:textId="77777777" w:rsidR="002E771E" w:rsidRDefault="002E771E" w:rsidP="002E771E">
            <w:pPr>
              <w:jc w:val="right"/>
            </w:pPr>
            <w:r>
              <w:t>264,761.85</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4525AE4D" w14:textId="77777777" w:rsidR="002E771E" w:rsidRDefault="002E771E" w:rsidP="002E771E">
            <w:pPr>
              <w:jc w:val="right"/>
            </w:pPr>
            <w:r>
              <w:t>218,723.78</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519C9E15" w14:textId="77777777" w:rsidR="002E771E" w:rsidRDefault="00B73D8C" w:rsidP="002E771E">
            <w:pPr>
              <w:jc w:val="right"/>
            </w:pPr>
            <w:r>
              <w:t>100.%</w:t>
            </w:r>
          </w:p>
        </w:tc>
        <w:tc>
          <w:tcPr>
            <w:tcW w:w="993" w:type="dxa"/>
            <w:tcBorders>
              <w:top w:val="nil"/>
              <w:left w:val="single" w:sz="4" w:space="0" w:color="000000"/>
              <w:bottom w:val="single" w:sz="4" w:space="0" w:color="000000"/>
              <w:right w:val="single" w:sz="4" w:space="0" w:color="000000"/>
            </w:tcBorders>
            <w:shd w:val="clear" w:color="auto" w:fill="auto"/>
            <w:vAlign w:val="bottom"/>
          </w:tcPr>
          <w:p w14:paraId="00696ADE" w14:textId="77777777" w:rsidR="002E771E" w:rsidRDefault="002E771E" w:rsidP="002E771E">
            <w:pPr>
              <w:jc w:val="right"/>
            </w:pPr>
            <w:r>
              <w:t>82.61%</w:t>
            </w:r>
          </w:p>
        </w:tc>
      </w:tr>
      <w:tr w:rsidR="002E771E" w14:paraId="137BA460" w14:textId="77777777" w:rsidTr="00023229">
        <w:tc>
          <w:tcPr>
            <w:tcW w:w="2978" w:type="dxa"/>
            <w:tcBorders>
              <w:top w:val="nil"/>
              <w:left w:val="single" w:sz="4" w:space="0" w:color="000000"/>
              <w:bottom w:val="single" w:sz="4" w:space="0" w:color="000000"/>
              <w:right w:val="nil"/>
            </w:tcBorders>
            <w:shd w:val="clear" w:color="auto" w:fill="auto"/>
            <w:vAlign w:val="bottom"/>
          </w:tcPr>
          <w:p w14:paraId="08D4983A" w14:textId="77777777" w:rsidR="002E771E" w:rsidRDefault="002E771E" w:rsidP="002E771E">
            <w:pPr>
              <w:rPr>
                <w:color w:val="000000"/>
              </w:rPr>
            </w:pPr>
            <w:r>
              <w:rPr>
                <w:color w:val="000000"/>
              </w:rPr>
              <w:t>Reception and Study Center for Children</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5EE093EE" w14:textId="77777777" w:rsidR="002E771E" w:rsidRDefault="002E771E" w:rsidP="002E771E">
            <w:pPr>
              <w:jc w:val="right"/>
            </w:pPr>
            <w:r>
              <w:t>215,752.21</w:t>
            </w:r>
          </w:p>
        </w:tc>
        <w:tc>
          <w:tcPr>
            <w:tcW w:w="1842" w:type="dxa"/>
            <w:tcBorders>
              <w:top w:val="nil"/>
              <w:left w:val="single" w:sz="4" w:space="0" w:color="000000"/>
              <w:bottom w:val="single" w:sz="4" w:space="0" w:color="000000"/>
              <w:right w:val="single" w:sz="4" w:space="0" w:color="000000"/>
            </w:tcBorders>
            <w:shd w:val="clear" w:color="auto" w:fill="auto"/>
            <w:vAlign w:val="bottom"/>
          </w:tcPr>
          <w:p w14:paraId="6897E767" w14:textId="77777777" w:rsidR="002E771E" w:rsidRDefault="002E771E" w:rsidP="002E771E">
            <w:pPr>
              <w:jc w:val="right"/>
            </w:pPr>
            <w:r>
              <w:t>215,752.21</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2695415F" w14:textId="77777777" w:rsidR="002E771E" w:rsidRDefault="002E771E" w:rsidP="002E771E">
            <w:pPr>
              <w:jc w:val="right"/>
            </w:pPr>
            <w:r>
              <w:t>191,062.15</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46F9A304" w14:textId="77777777" w:rsidR="002E771E" w:rsidRDefault="002E771E" w:rsidP="002E771E">
            <w:pPr>
              <w:jc w:val="right"/>
            </w:pPr>
            <w:r>
              <w:t>100.00</w:t>
            </w:r>
          </w:p>
        </w:tc>
        <w:tc>
          <w:tcPr>
            <w:tcW w:w="993" w:type="dxa"/>
            <w:tcBorders>
              <w:top w:val="nil"/>
              <w:left w:val="single" w:sz="4" w:space="0" w:color="000000"/>
              <w:bottom w:val="single" w:sz="4" w:space="0" w:color="000000"/>
              <w:right w:val="single" w:sz="4" w:space="0" w:color="000000"/>
            </w:tcBorders>
            <w:shd w:val="clear" w:color="auto" w:fill="auto"/>
            <w:vAlign w:val="bottom"/>
          </w:tcPr>
          <w:p w14:paraId="71EFB18F" w14:textId="77777777" w:rsidR="002E771E" w:rsidRDefault="002E771E" w:rsidP="002E771E">
            <w:pPr>
              <w:jc w:val="right"/>
            </w:pPr>
            <w:r>
              <w:t>88.56%</w:t>
            </w:r>
          </w:p>
        </w:tc>
      </w:tr>
      <w:tr w:rsidR="002E771E" w14:paraId="3E61B23B" w14:textId="77777777" w:rsidTr="00023229">
        <w:tc>
          <w:tcPr>
            <w:tcW w:w="2978" w:type="dxa"/>
            <w:tcBorders>
              <w:top w:val="nil"/>
              <w:left w:val="single" w:sz="4" w:space="0" w:color="000000"/>
              <w:bottom w:val="single" w:sz="4" w:space="0" w:color="000000"/>
              <w:right w:val="nil"/>
            </w:tcBorders>
            <w:shd w:val="clear" w:color="auto" w:fill="auto"/>
            <w:vAlign w:val="bottom"/>
          </w:tcPr>
          <w:p w14:paraId="095DC03C" w14:textId="77777777" w:rsidR="002E771E" w:rsidRDefault="002E771E" w:rsidP="002E771E">
            <w:pPr>
              <w:rPr>
                <w:color w:val="000000"/>
              </w:rPr>
            </w:pPr>
            <w:r>
              <w:rPr>
                <w:color w:val="000000"/>
              </w:rPr>
              <w:t xml:space="preserve">Cagayan valley Regional Rehabilitation for Children </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CA46A9A" w14:textId="77777777" w:rsidR="002E771E" w:rsidRDefault="002E771E" w:rsidP="002E771E">
            <w:pPr>
              <w:jc w:val="right"/>
            </w:pPr>
            <w:r>
              <w:t>193,225.33</w:t>
            </w:r>
          </w:p>
        </w:tc>
        <w:tc>
          <w:tcPr>
            <w:tcW w:w="1842" w:type="dxa"/>
            <w:tcBorders>
              <w:top w:val="nil"/>
              <w:left w:val="single" w:sz="4" w:space="0" w:color="000000"/>
              <w:bottom w:val="single" w:sz="4" w:space="0" w:color="000000"/>
              <w:right w:val="single" w:sz="4" w:space="0" w:color="000000"/>
            </w:tcBorders>
            <w:shd w:val="clear" w:color="auto" w:fill="auto"/>
            <w:vAlign w:val="bottom"/>
          </w:tcPr>
          <w:p w14:paraId="7A9A879C" w14:textId="77777777" w:rsidR="002E771E" w:rsidRDefault="002E771E" w:rsidP="002E771E">
            <w:pPr>
              <w:jc w:val="right"/>
            </w:pPr>
            <w:r>
              <w:t>193,225.34</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15515AA5" w14:textId="77777777" w:rsidR="002E771E" w:rsidRDefault="002E771E" w:rsidP="002E771E">
            <w:pPr>
              <w:jc w:val="right"/>
            </w:pPr>
            <w:r>
              <w:t>143,169.80</w:t>
            </w:r>
          </w:p>
        </w:tc>
        <w:tc>
          <w:tcPr>
            <w:tcW w:w="992" w:type="dxa"/>
            <w:tcBorders>
              <w:top w:val="nil"/>
              <w:left w:val="single" w:sz="4" w:space="0" w:color="000000"/>
              <w:bottom w:val="single" w:sz="4" w:space="0" w:color="000000"/>
              <w:right w:val="single" w:sz="4" w:space="0" w:color="000000"/>
            </w:tcBorders>
            <w:shd w:val="clear" w:color="auto" w:fill="auto"/>
            <w:vAlign w:val="bottom"/>
          </w:tcPr>
          <w:p w14:paraId="6D0F1FDD" w14:textId="77777777" w:rsidR="002E771E" w:rsidRDefault="002E771E" w:rsidP="002E771E">
            <w:pPr>
              <w:jc w:val="right"/>
            </w:pPr>
            <w:r>
              <w:t>100.00</w:t>
            </w:r>
          </w:p>
        </w:tc>
        <w:tc>
          <w:tcPr>
            <w:tcW w:w="993" w:type="dxa"/>
            <w:tcBorders>
              <w:top w:val="nil"/>
              <w:left w:val="single" w:sz="4" w:space="0" w:color="000000"/>
              <w:bottom w:val="single" w:sz="4" w:space="0" w:color="000000"/>
              <w:right w:val="single" w:sz="4" w:space="0" w:color="000000"/>
            </w:tcBorders>
            <w:shd w:val="clear" w:color="auto" w:fill="auto"/>
            <w:vAlign w:val="bottom"/>
          </w:tcPr>
          <w:p w14:paraId="78465CC4" w14:textId="77777777" w:rsidR="002E771E" w:rsidRDefault="002E771E" w:rsidP="002E771E">
            <w:pPr>
              <w:jc w:val="right"/>
            </w:pPr>
            <w:r>
              <w:t>74.09%</w:t>
            </w:r>
          </w:p>
        </w:tc>
      </w:tr>
      <w:tr w:rsidR="00341200" w14:paraId="783CBEED" w14:textId="77777777" w:rsidTr="00023229">
        <w:tc>
          <w:tcPr>
            <w:tcW w:w="2978" w:type="dxa"/>
          </w:tcPr>
          <w:p w14:paraId="44FF51FB" w14:textId="77777777" w:rsidR="00341200" w:rsidRPr="00DF233A" w:rsidRDefault="00341200" w:rsidP="00341200">
            <w:pPr>
              <w:jc w:val="both"/>
              <w:rPr>
                <w:b/>
                <w:color w:val="000000" w:themeColor="text1"/>
                <w:sz w:val="20"/>
              </w:rPr>
            </w:pPr>
            <w:r w:rsidRPr="00DF233A">
              <w:rPr>
                <w:b/>
                <w:color w:val="000000" w:themeColor="text1"/>
                <w:sz w:val="20"/>
              </w:rPr>
              <w:t>Supplementary Feeding Program</w:t>
            </w:r>
          </w:p>
        </w:tc>
        <w:tc>
          <w:tcPr>
            <w:tcW w:w="1843" w:type="dxa"/>
          </w:tcPr>
          <w:p w14:paraId="11F8EE24" w14:textId="77777777" w:rsidR="00341200" w:rsidRPr="00AE4610" w:rsidRDefault="00341200" w:rsidP="00341200">
            <w:pPr>
              <w:jc w:val="right"/>
              <w:rPr>
                <w:color w:val="000000"/>
              </w:rPr>
            </w:pPr>
          </w:p>
        </w:tc>
        <w:tc>
          <w:tcPr>
            <w:tcW w:w="1842" w:type="dxa"/>
          </w:tcPr>
          <w:p w14:paraId="15D49A65" w14:textId="77777777" w:rsidR="00341200" w:rsidRDefault="00341200" w:rsidP="00341200">
            <w:pPr>
              <w:jc w:val="both"/>
              <w:rPr>
                <w:b/>
                <w:color w:val="000000" w:themeColor="text1"/>
              </w:rPr>
            </w:pPr>
          </w:p>
        </w:tc>
        <w:tc>
          <w:tcPr>
            <w:tcW w:w="1843" w:type="dxa"/>
          </w:tcPr>
          <w:p w14:paraId="1833DAD4" w14:textId="77777777" w:rsidR="00341200" w:rsidRDefault="00341200" w:rsidP="00341200">
            <w:pPr>
              <w:jc w:val="both"/>
              <w:rPr>
                <w:b/>
                <w:color w:val="000000" w:themeColor="text1"/>
              </w:rPr>
            </w:pPr>
          </w:p>
        </w:tc>
        <w:tc>
          <w:tcPr>
            <w:tcW w:w="992" w:type="dxa"/>
          </w:tcPr>
          <w:p w14:paraId="185EAB18" w14:textId="77777777" w:rsidR="00341200" w:rsidRPr="00AE4610" w:rsidRDefault="00341200" w:rsidP="00341200">
            <w:pPr>
              <w:rPr>
                <w:color w:val="000000" w:themeColor="text1"/>
              </w:rPr>
            </w:pPr>
          </w:p>
        </w:tc>
        <w:tc>
          <w:tcPr>
            <w:tcW w:w="993" w:type="dxa"/>
          </w:tcPr>
          <w:p w14:paraId="02D6746A" w14:textId="77777777" w:rsidR="00341200" w:rsidRPr="00AE4610" w:rsidRDefault="00341200" w:rsidP="00341200">
            <w:pPr>
              <w:rPr>
                <w:color w:val="000000" w:themeColor="text1"/>
              </w:rPr>
            </w:pPr>
          </w:p>
        </w:tc>
      </w:tr>
      <w:tr w:rsidR="002E771E" w14:paraId="43634730" w14:textId="77777777" w:rsidTr="00023229">
        <w:tc>
          <w:tcPr>
            <w:tcW w:w="2978" w:type="dxa"/>
          </w:tcPr>
          <w:p w14:paraId="4D7581AF" w14:textId="77777777" w:rsidR="002E771E" w:rsidRDefault="002E771E" w:rsidP="002E771E">
            <w:pPr>
              <w:spacing w:line="240" w:lineRule="auto"/>
              <w:rPr>
                <w:rFonts w:eastAsia="Times New Roman"/>
                <w:lang w:val="en-PH" w:eastAsia="en-PH"/>
              </w:rPr>
            </w:pPr>
            <w:r>
              <w:t>11 Cycle Implementation Continuing Funds</w:t>
            </w:r>
          </w:p>
        </w:tc>
        <w:tc>
          <w:tcPr>
            <w:tcW w:w="1843" w:type="dxa"/>
            <w:vAlign w:val="center"/>
          </w:tcPr>
          <w:p w14:paraId="2FFD0399" w14:textId="77777777" w:rsidR="002E771E" w:rsidRPr="002E771E" w:rsidRDefault="002E771E" w:rsidP="002E771E">
            <w:pPr>
              <w:spacing w:line="240" w:lineRule="auto"/>
              <w:jc w:val="right"/>
              <w:rPr>
                <w:rFonts w:eastAsia="Times New Roman"/>
                <w:lang w:val="en-PH" w:eastAsia="en-PH"/>
              </w:rPr>
            </w:pPr>
            <w:r w:rsidRPr="002E771E">
              <w:t>176,266,200.00</w:t>
            </w:r>
          </w:p>
        </w:tc>
        <w:tc>
          <w:tcPr>
            <w:tcW w:w="1842" w:type="dxa"/>
          </w:tcPr>
          <w:p w14:paraId="187FC313" w14:textId="77777777" w:rsidR="002E771E" w:rsidRPr="002E771E" w:rsidRDefault="002E771E" w:rsidP="002E771E">
            <w:pPr>
              <w:jc w:val="center"/>
              <w:rPr>
                <w:b/>
                <w:color w:val="000000" w:themeColor="text1"/>
              </w:rPr>
            </w:pPr>
            <w:r w:rsidRPr="002E771E">
              <w:t>176,266,200.00</w:t>
            </w:r>
          </w:p>
        </w:tc>
        <w:tc>
          <w:tcPr>
            <w:tcW w:w="1843" w:type="dxa"/>
          </w:tcPr>
          <w:p w14:paraId="786B761B" w14:textId="77777777" w:rsidR="002E771E" w:rsidRDefault="002E771E" w:rsidP="002E771E">
            <w:pPr>
              <w:jc w:val="both"/>
              <w:rPr>
                <w:b/>
                <w:color w:val="000000" w:themeColor="text1"/>
              </w:rPr>
            </w:pPr>
            <w:r w:rsidRPr="002E771E">
              <w:t>176,266,200.00</w:t>
            </w:r>
          </w:p>
        </w:tc>
        <w:tc>
          <w:tcPr>
            <w:tcW w:w="992" w:type="dxa"/>
          </w:tcPr>
          <w:p w14:paraId="4D9EF194" w14:textId="77777777" w:rsidR="002E771E" w:rsidRPr="00AE4610" w:rsidRDefault="002E771E" w:rsidP="00B73D8C">
            <w:pPr>
              <w:jc w:val="right"/>
              <w:rPr>
                <w:color w:val="000000" w:themeColor="text1"/>
              </w:rPr>
            </w:pPr>
            <w:r>
              <w:t>100.00</w:t>
            </w:r>
          </w:p>
        </w:tc>
        <w:tc>
          <w:tcPr>
            <w:tcW w:w="993" w:type="dxa"/>
          </w:tcPr>
          <w:p w14:paraId="65A699B3" w14:textId="77777777" w:rsidR="002E771E" w:rsidRPr="00AE4610" w:rsidRDefault="002E771E" w:rsidP="00B73D8C">
            <w:pPr>
              <w:jc w:val="right"/>
              <w:rPr>
                <w:color w:val="000000" w:themeColor="text1"/>
              </w:rPr>
            </w:pPr>
            <w:r>
              <w:t>100.00</w:t>
            </w:r>
          </w:p>
        </w:tc>
      </w:tr>
      <w:tr w:rsidR="002E771E" w14:paraId="50C10C28" w14:textId="77777777" w:rsidTr="00023229">
        <w:tc>
          <w:tcPr>
            <w:tcW w:w="2978" w:type="dxa"/>
          </w:tcPr>
          <w:p w14:paraId="52AECA23" w14:textId="77777777" w:rsidR="002E771E" w:rsidRDefault="002E771E" w:rsidP="002E771E">
            <w:r>
              <w:t>12th Cycle Implementation Current Funds</w:t>
            </w:r>
          </w:p>
        </w:tc>
        <w:tc>
          <w:tcPr>
            <w:tcW w:w="1843" w:type="dxa"/>
            <w:vAlign w:val="center"/>
          </w:tcPr>
          <w:p w14:paraId="168D886B" w14:textId="77777777" w:rsidR="002E771E" w:rsidRPr="002E771E" w:rsidRDefault="002E771E" w:rsidP="002E771E">
            <w:pPr>
              <w:jc w:val="right"/>
            </w:pPr>
            <w:r w:rsidRPr="002E771E">
              <w:t>170,309,760.00</w:t>
            </w:r>
          </w:p>
        </w:tc>
        <w:tc>
          <w:tcPr>
            <w:tcW w:w="1842" w:type="dxa"/>
          </w:tcPr>
          <w:p w14:paraId="4EB73355" w14:textId="77777777" w:rsidR="002E771E" w:rsidRDefault="002E771E" w:rsidP="002E771E">
            <w:pPr>
              <w:jc w:val="both"/>
              <w:rPr>
                <w:b/>
                <w:color w:val="000000" w:themeColor="text1"/>
              </w:rPr>
            </w:pPr>
          </w:p>
        </w:tc>
        <w:tc>
          <w:tcPr>
            <w:tcW w:w="1843" w:type="dxa"/>
          </w:tcPr>
          <w:p w14:paraId="65392223" w14:textId="77777777" w:rsidR="002E771E" w:rsidRDefault="002E771E" w:rsidP="002E771E">
            <w:pPr>
              <w:jc w:val="both"/>
              <w:rPr>
                <w:b/>
                <w:color w:val="000000" w:themeColor="text1"/>
              </w:rPr>
            </w:pPr>
          </w:p>
        </w:tc>
        <w:tc>
          <w:tcPr>
            <w:tcW w:w="992" w:type="dxa"/>
          </w:tcPr>
          <w:p w14:paraId="5BDF85E2" w14:textId="77777777" w:rsidR="002E771E" w:rsidRPr="00AE4610" w:rsidRDefault="002E771E" w:rsidP="00B73D8C">
            <w:pPr>
              <w:jc w:val="right"/>
              <w:rPr>
                <w:color w:val="000000" w:themeColor="text1"/>
              </w:rPr>
            </w:pPr>
          </w:p>
        </w:tc>
        <w:tc>
          <w:tcPr>
            <w:tcW w:w="993" w:type="dxa"/>
          </w:tcPr>
          <w:p w14:paraId="292021E5" w14:textId="77777777" w:rsidR="002E771E" w:rsidRPr="00AE4610" w:rsidRDefault="002E771E" w:rsidP="00B73D8C">
            <w:pPr>
              <w:jc w:val="right"/>
              <w:rPr>
                <w:color w:val="000000" w:themeColor="text1"/>
              </w:rPr>
            </w:pPr>
          </w:p>
        </w:tc>
      </w:tr>
      <w:tr w:rsidR="00341200" w14:paraId="4E5BA6AB" w14:textId="77777777" w:rsidTr="00023229">
        <w:tc>
          <w:tcPr>
            <w:tcW w:w="2978" w:type="dxa"/>
          </w:tcPr>
          <w:p w14:paraId="18FC3CB1" w14:textId="77777777" w:rsidR="00341200" w:rsidRPr="00DF233A" w:rsidRDefault="00341200" w:rsidP="00341200">
            <w:pPr>
              <w:jc w:val="both"/>
              <w:rPr>
                <w:b/>
                <w:color w:val="000000" w:themeColor="text1"/>
                <w:sz w:val="20"/>
              </w:rPr>
            </w:pPr>
            <w:r w:rsidRPr="00DF233A">
              <w:rPr>
                <w:b/>
                <w:color w:val="000000" w:themeColor="text1"/>
                <w:sz w:val="20"/>
              </w:rPr>
              <w:t>Social Pension for Indigent Senior Citizens</w:t>
            </w:r>
          </w:p>
        </w:tc>
        <w:tc>
          <w:tcPr>
            <w:tcW w:w="1843" w:type="dxa"/>
          </w:tcPr>
          <w:p w14:paraId="1FB103D5" w14:textId="77777777" w:rsidR="00341200" w:rsidRPr="000117DF" w:rsidRDefault="002E771E" w:rsidP="002E771E">
            <w:pPr>
              <w:jc w:val="right"/>
              <w:rPr>
                <w:color w:val="000000" w:themeColor="text1"/>
              </w:rPr>
            </w:pPr>
            <w:r>
              <w:rPr>
                <w:color w:val="000000"/>
              </w:rPr>
              <w:t>1,466,586,000</w:t>
            </w:r>
          </w:p>
        </w:tc>
        <w:tc>
          <w:tcPr>
            <w:tcW w:w="1842" w:type="dxa"/>
          </w:tcPr>
          <w:p w14:paraId="64ECB853" w14:textId="77777777" w:rsidR="00341200" w:rsidRPr="000117DF" w:rsidRDefault="002E771E" w:rsidP="00341200">
            <w:pPr>
              <w:jc w:val="right"/>
              <w:rPr>
                <w:color w:val="000000" w:themeColor="text1"/>
              </w:rPr>
            </w:pPr>
            <w:r>
              <w:rPr>
                <w:color w:val="000000"/>
              </w:rPr>
              <w:t>733,293,000</w:t>
            </w:r>
          </w:p>
        </w:tc>
        <w:tc>
          <w:tcPr>
            <w:tcW w:w="1843" w:type="dxa"/>
          </w:tcPr>
          <w:p w14:paraId="68683FF6" w14:textId="77777777" w:rsidR="00341200" w:rsidRPr="000117DF" w:rsidRDefault="002E771E" w:rsidP="00341200">
            <w:pPr>
              <w:jc w:val="right"/>
              <w:rPr>
                <w:color w:val="000000" w:themeColor="text1"/>
              </w:rPr>
            </w:pPr>
            <w:r>
              <w:t>700,075,500.00</w:t>
            </w:r>
          </w:p>
        </w:tc>
        <w:tc>
          <w:tcPr>
            <w:tcW w:w="992" w:type="dxa"/>
          </w:tcPr>
          <w:p w14:paraId="026AAB38" w14:textId="77777777" w:rsidR="00341200" w:rsidRPr="00AE4610" w:rsidRDefault="00B73D8C" w:rsidP="00B73D8C">
            <w:pPr>
              <w:jc w:val="right"/>
              <w:rPr>
                <w:color w:val="000000" w:themeColor="text1"/>
              </w:rPr>
            </w:pPr>
            <w:r>
              <w:rPr>
                <w:color w:val="000000" w:themeColor="text1"/>
              </w:rPr>
              <w:t>50.00</w:t>
            </w:r>
            <w:r w:rsidR="00E66E95">
              <w:rPr>
                <w:color w:val="000000" w:themeColor="text1"/>
              </w:rPr>
              <w:t>%</w:t>
            </w:r>
          </w:p>
        </w:tc>
        <w:tc>
          <w:tcPr>
            <w:tcW w:w="993" w:type="dxa"/>
          </w:tcPr>
          <w:p w14:paraId="51373791" w14:textId="77777777" w:rsidR="00341200" w:rsidRPr="00AE4610" w:rsidRDefault="00B73D8C" w:rsidP="00B73D8C">
            <w:pPr>
              <w:jc w:val="right"/>
              <w:rPr>
                <w:color w:val="000000" w:themeColor="text1"/>
              </w:rPr>
            </w:pPr>
            <w:r>
              <w:rPr>
                <w:color w:val="000000" w:themeColor="text1"/>
              </w:rPr>
              <w:t>47.73</w:t>
            </w:r>
            <w:r w:rsidR="00E66E95">
              <w:rPr>
                <w:color w:val="000000" w:themeColor="text1"/>
              </w:rPr>
              <w:t>%</w:t>
            </w:r>
          </w:p>
        </w:tc>
      </w:tr>
      <w:tr w:rsidR="00341200" w14:paraId="229097A2" w14:textId="77777777" w:rsidTr="00023229">
        <w:tc>
          <w:tcPr>
            <w:tcW w:w="2978" w:type="dxa"/>
          </w:tcPr>
          <w:p w14:paraId="2D15DBAB" w14:textId="77777777" w:rsidR="00341200" w:rsidRPr="00DF233A" w:rsidRDefault="00341200" w:rsidP="00341200">
            <w:pPr>
              <w:jc w:val="both"/>
              <w:rPr>
                <w:b/>
                <w:color w:val="000000" w:themeColor="text1"/>
                <w:sz w:val="20"/>
              </w:rPr>
            </w:pPr>
            <w:r w:rsidRPr="00DF233A">
              <w:rPr>
                <w:b/>
                <w:color w:val="000000" w:themeColor="text1"/>
                <w:sz w:val="20"/>
              </w:rPr>
              <w:t>Implementation of Centenarians Act of 2016</w:t>
            </w:r>
          </w:p>
        </w:tc>
        <w:tc>
          <w:tcPr>
            <w:tcW w:w="1843" w:type="dxa"/>
          </w:tcPr>
          <w:p w14:paraId="3A98F807" w14:textId="77777777" w:rsidR="00341200" w:rsidRPr="000117DF" w:rsidRDefault="00E66E95" w:rsidP="00341200">
            <w:pPr>
              <w:jc w:val="right"/>
              <w:rPr>
                <w:color w:val="000000" w:themeColor="text1"/>
              </w:rPr>
            </w:pPr>
            <w:r>
              <w:rPr>
                <w:color w:val="000000"/>
              </w:rPr>
              <w:t>6,000,000.00</w:t>
            </w:r>
          </w:p>
        </w:tc>
        <w:tc>
          <w:tcPr>
            <w:tcW w:w="1842" w:type="dxa"/>
          </w:tcPr>
          <w:p w14:paraId="196FF445" w14:textId="77777777" w:rsidR="00341200" w:rsidRDefault="00E66E95" w:rsidP="00E66E95">
            <w:pPr>
              <w:jc w:val="right"/>
            </w:pPr>
            <w:r>
              <w:rPr>
                <w:color w:val="000000"/>
              </w:rPr>
              <w:t>3,400,000.00</w:t>
            </w:r>
          </w:p>
        </w:tc>
        <w:tc>
          <w:tcPr>
            <w:tcW w:w="1843" w:type="dxa"/>
          </w:tcPr>
          <w:p w14:paraId="76FAB8BB" w14:textId="77777777" w:rsidR="00341200" w:rsidRDefault="00E66E95" w:rsidP="00E66E95">
            <w:pPr>
              <w:jc w:val="right"/>
            </w:pPr>
            <w:r>
              <w:t>2,700,000.00</w:t>
            </w:r>
          </w:p>
        </w:tc>
        <w:tc>
          <w:tcPr>
            <w:tcW w:w="992" w:type="dxa"/>
          </w:tcPr>
          <w:p w14:paraId="0B8DCA95" w14:textId="77777777" w:rsidR="00341200" w:rsidRPr="00AE4610" w:rsidRDefault="00E66E95" w:rsidP="00341200">
            <w:pPr>
              <w:rPr>
                <w:color w:val="000000" w:themeColor="text1"/>
              </w:rPr>
            </w:pPr>
            <w:r>
              <w:rPr>
                <w:color w:val="000000"/>
              </w:rPr>
              <w:t>56.67%</w:t>
            </w:r>
          </w:p>
        </w:tc>
        <w:tc>
          <w:tcPr>
            <w:tcW w:w="993" w:type="dxa"/>
          </w:tcPr>
          <w:p w14:paraId="59A1784A" w14:textId="77777777" w:rsidR="00341200" w:rsidRPr="00AE4610" w:rsidRDefault="00E66E95" w:rsidP="00E66E95">
            <w:pPr>
              <w:jc w:val="right"/>
              <w:rPr>
                <w:color w:val="000000" w:themeColor="text1"/>
              </w:rPr>
            </w:pPr>
            <w:r>
              <w:rPr>
                <w:color w:val="000000"/>
              </w:rPr>
              <w:t>45%</w:t>
            </w:r>
          </w:p>
        </w:tc>
      </w:tr>
      <w:tr w:rsidR="00341200" w14:paraId="20AEC727" w14:textId="77777777" w:rsidTr="00023229">
        <w:tc>
          <w:tcPr>
            <w:tcW w:w="2978" w:type="dxa"/>
          </w:tcPr>
          <w:p w14:paraId="2015F925" w14:textId="77777777" w:rsidR="00341200" w:rsidRPr="00DF233A" w:rsidRDefault="00341200" w:rsidP="00341200">
            <w:pPr>
              <w:jc w:val="both"/>
              <w:rPr>
                <w:b/>
                <w:color w:val="000000" w:themeColor="text1"/>
                <w:sz w:val="20"/>
              </w:rPr>
            </w:pPr>
            <w:r w:rsidRPr="00DF233A">
              <w:rPr>
                <w:b/>
                <w:color w:val="000000" w:themeColor="text1"/>
                <w:sz w:val="20"/>
              </w:rPr>
              <w:t>Assistance to Individuals in Crisis Situation (AICS)</w:t>
            </w:r>
          </w:p>
        </w:tc>
        <w:tc>
          <w:tcPr>
            <w:tcW w:w="1843" w:type="dxa"/>
          </w:tcPr>
          <w:p w14:paraId="0603CB60" w14:textId="77777777" w:rsidR="00341200" w:rsidRDefault="00341200" w:rsidP="00341200">
            <w:pPr>
              <w:jc w:val="both"/>
              <w:rPr>
                <w:b/>
                <w:color w:val="000000" w:themeColor="text1"/>
              </w:rPr>
            </w:pPr>
          </w:p>
        </w:tc>
        <w:tc>
          <w:tcPr>
            <w:tcW w:w="1842" w:type="dxa"/>
          </w:tcPr>
          <w:p w14:paraId="5A9DC790" w14:textId="77777777" w:rsidR="00341200" w:rsidRDefault="00341200" w:rsidP="00341200">
            <w:pPr>
              <w:jc w:val="both"/>
              <w:rPr>
                <w:b/>
                <w:color w:val="000000" w:themeColor="text1"/>
              </w:rPr>
            </w:pPr>
          </w:p>
        </w:tc>
        <w:tc>
          <w:tcPr>
            <w:tcW w:w="1843" w:type="dxa"/>
          </w:tcPr>
          <w:p w14:paraId="71FDC729" w14:textId="77777777" w:rsidR="00341200" w:rsidRDefault="00341200" w:rsidP="00341200">
            <w:pPr>
              <w:jc w:val="both"/>
              <w:rPr>
                <w:b/>
                <w:color w:val="000000" w:themeColor="text1"/>
              </w:rPr>
            </w:pPr>
          </w:p>
        </w:tc>
        <w:tc>
          <w:tcPr>
            <w:tcW w:w="992" w:type="dxa"/>
          </w:tcPr>
          <w:p w14:paraId="2FCE66A8" w14:textId="77777777" w:rsidR="00341200" w:rsidRDefault="00341200" w:rsidP="00341200">
            <w:pPr>
              <w:jc w:val="both"/>
              <w:rPr>
                <w:b/>
                <w:color w:val="000000" w:themeColor="text1"/>
              </w:rPr>
            </w:pPr>
          </w:p>
        </w:tc>
        <w:tc>
          <w:tcPr>
            <w:tcW w:w="993" w:type="dxa"/>
          </w:tcPr>
          <w:p w14:paraId="1C451120" w14:textId="77777777" w:rsidR="00341200" w:rsidRDefault="00341200" w:rsidP="00341200">
            <w:pPr>
              <w:jc w:val="both"/>
              <w:rPr>
                <w:b/>
                <w:color w:val="000000" w:themeColor="text1"/>
              </w:rPr>
            </w:pPr>
          </w:p>
        </w:tc>
      </w:tr>
      <w:tr w:rsidR="00341200" w14:paraId="0CBFB977" w14:textId="77777777" w:rsidTr="00023229">
        <w:tc>
          <w:tcPr>
            <w:tcW w:w="2978" w:type="dxa"/>
          </w:tcPr>
          <w:p w14:paraId="6C1AE46E" w14:textId="77777777" w:rsidR="00341200" w:rsidRPr="00DF233A" w:rsidRDefault="00341200" w:rsidP="00341200">
            <w:pPr>
              <w:jc w:val="both"/>
              <w:rPr>
                <w:b/>
                <w:color w:val="000000" w:themeColor="text1"/>
                <w:sz w:val="20"/>
              </w:rPr>
            </w:pPr>
            <w:r>
              <w:rPr>
                <w:b/>
                <w:color w:val="000000" w:themeColor="text1"/>
                <w:sz w:val="20"/>
              </w:rPr>
              <w:t>Regular AICS</w:t>
            </w:r>
          </w:p>
        </w:tc>
        <w:tc>
          <w:tcPr>
            <w:tcW w:w="1843" w:type="dxa"/>
          </w:tcPr>
          <w:p w14:paraId="5EBA31D1" w14:textId="77777777" w:rsidR="00341200" w:rsidRPr="006C4F03" w:rsidRDefault="006C4F03" w:rsidP="00341200">
            <w:pPr>
              <w:jc w:val="right"/>
              <w:rPr>
                <w:color w:val="000000" w:themeColor="text1"/>
              </w:rPr>
            </w:pPr>
            <w:r>
              <w:t>1,090,835,000</w:t>
            </w:r>
          </w:p>
        </w:tc>
        <w:tc>
          <w:tcPr>
            <w:tcW w:w="1842" w:type="dxa"/>
          </w:tcPr>
          <w:p w14:paraId="28160175" w14:textId="77777777" w:rsidR="00341200" w:rsidRPr="006C4F03" w:rsidRDefault="006C4F03" w:rsidP="00341200">
            <w:pPr>
              <w:jc w:val="right"/>
              <w:rPr>
                <w:color w:val="000000" w:themeColor="text1"/>
              </w:rPr>
            </w:pPr>
            <w:r w:rsidRPr="006C4F03">
              <w:t>761,559,307.29</w:t>
            </w:r>
          </w:p>
        </w:tc>
        <w:tc>
          <w:tcPr>
            <w:tcW w:w="1843" w:type="dxa"/>
          </w:tcPr>
          <w:p w14:paraId="6F42B9DF" w14:textId="77777777" w:rsidR="00341200" w:rsidRPr="006C4F03" w:rsidRDefault="006C4F03" w:rsidP="00341200">
            <w:pPr>
              <w:jc w:val="both"/>
              <w:rPr>
                <w:color w:val="000000" w:themeColor="text1"/>
              </w:rPr>
            </w:pPr>
            <w:r w:rsidRPr="006C4F03">
              <w:t>761,559,307.29</w:t>
            </w:r>
          </w:p>
        </w:tc>
        <w:tc>
          <w:tcPr>
            <w:tcW w:w="992" w:type="dxa"/>
          </w:tcPr>
          <w:p w14:paraId="6DE18E14" w14:textId="77777777" w:rsidR="00341200" w:rsidRPr="00D449D3" w:rsidRDefault="006C4F03" w:rsidP="00341200">
            <w:pPr>
              <w:jc w:val="both"/>
              <w:rPr>
                <w:color w:val="000000" w:themeColor="text1"/>
              </w:rPr>
            </w:pPr>
            <w:r>
              <w:rPr>
                <w:color w:val="000000" w:themeColor="text1"/>
              </w:rPr>
              <w:t>69.81%</w:t>
            </w:r>
          </w:p>
        </w:tc>
        <w:tc>
          <w:tcPr>
            <w:tcW w:w="993" w:type="dxa"/>
          </w:tcPr>
          <w:p w14:paraId="01148F07" w14:textId="77777777" w:rsidR="00341200" w:rsidRPr="00D449D3" w:rsidRDefault="006C4F03" w:rsidP="00341200">
            <w:pPr>
              <w:jc w:val="both"/>
              <w:rPr>
                <w:color w:val="000000" w:themeColor="text1"/>
              </w:rPr>
            </w:pPr>
            <w:r>
              <w:rPr>
                <w:color w:val="000000" w:themeColor="text1"/>
              </w:rPr>
              <w:t>69.81%</w:t>
            </w:r>
          </w:p>
        </w:tc>
      </w:tr>
      <w:tr w:rsidR="00341200" w14:paraId="3520D25D" w14:textId="77777777" w:rsidTr="00023229">
        <w:tc>
          <w:tcPr>
            <w:tcW w:w="2978" w:type="dxa"/>
          </w:tcPr>
          <w:p w14:paraId="323ACD5E" w14:textId="77777777" w:rsidR="00341200" w:rsidRPr="00DF233A" w:rsidRDefault="00341200" w:rsidP="00341200">
            <w:pPr>
              <w:jc w:val="both"/>
              <w:rPr>
                <w:b/>
                <w:color w:val="000000" w:themeColor="text1"/>
                <w:sz w:val="20"/>
              </w:rPr>
            </w:pPr>
            <w:r w:rsidRPr="00DF233A">
              <w:rPr>
                <w:b/>
                <w:color w:val="000000" w:themeColor="text1"/>
                <w:sz w:val="20"/>
              </w:rPr>
              <w:t>Alternative Family Care Program</w:t>
            </w:r>
          </w:p>
        </w:tc>
        <w:tc>
          <w:tcPr>
            <w:tcW w:w="1843" w:type="dxa"/>
          </w:tcPr>
          <w:p w14:paraId="14E56AE7" w14:textId="77777777" w:rsidR="00341200" w:rsidRDefault="00341200" w:rsidP="00341200">
            <w:pPr>
              <w:jc w:val="center"/>
              <w:rPr>
                <w:b/>
                <w:color w:val="000000" w:themeColor="text1"/>
              </w:rPr>
            </w:pPr>
          </w:p>
        </w:tc>
        <w:tc>
          <w:tcPr>
            <w:tcW w:w="1842" w:type="dxa"/>
          </w:tcPr>
          <w:p w14:paraId="4042D049" w14:textId="77777777" w:rsidR="00341200" w:rsidRPr="000117DF" w:rsidRDefault="00341200" w:rsidP="00341200">
            <w:pPr>
              <w:jc w:val="center"/>
              <w:rPr>
                <w:color w:val="000000" w:themeColor="text1"/>
              </w:rPr>
            </w:pPr>
          </w:p>
        </w:tc>
        <w:tc>
          <w:tcPr>
            <w:tcW w:w="1843" w:type="dxa"/>
          </w:tcPr>
          <w:p w14:paraId="5E3D50BB" w14:textId="77777777" w:rsidR="00341200" w:rsidRPr="000117DF" w:rsidRDefault="00341200" w:rsidP="00341200">
            <w:pPr>
              <w:jc w:val="center"/>
              <w:rPr>
                <w:color w:val="000000" w:themeColor="text1"/>
              </w:rPr>
            </w:pPr>
          </w:p>
        </w:tc>
        <w:tc>
          <w:tcPr>
            <w:tcW w:w="992" w:type="dxa"/>
          </w:tcPr>
          <w:p w14:paraId="714EEDBF" w14:textId="77777777" w:rsidR="00341200" w:rsidRDefault="00341200" w:rsidP="00341200">
            <w:pPr>
              <w:jc w:val="both"/>
              <w:rPr>
                <w:b/>
                <w:color w:val="000000" w:themeColor="text1"/>
              </w:rPr>
            </w:pPr>
          </w:p>
        </w:tc>
        <w:tc>
          <w:tcPr>
            <w:tcW w:w="993" w:type="dxa"/>
          </w:tcPr>
          <w:p w14:paraId="7C03B417" w14:textId="77777777" w:rsidR="00341200" w:rsidRDefault="00341200" w:rsidP="00341200">
            <w:pPr>
              <w:jc w:val="both"/>
              <w:rPr>
                <w:b/>
                <w:color w:val="000000" w:themeColor="text1"/>
              </w:rPr>
            </w:pPr>
          </w:p>
        </w:tc>
      </w:tr>
      <w:tr w:rsidR="006C4F03" w14:paraId="15FED4C0" w14:textId="77777777" w:rsidTr="00023229">
        <w:tc>
          <w:tcPr>
            <w:tcW w:w="2978" w:type="dxa"/>
          </w:tcPr>
          <w:p w14:paraId="473304F0" w14:textId="77777777" w:rsidR="006C4F03" w:rsidRPr="00DF233A" w:rsidRDefault="006C4F03" w:rsidP="006C4F03">
            <w:pPr>
              <w:jc w:val="both"/>
              <w:rPr>
                <w:b/>
                <w:color w:val="000000" w:themeColor="text1"/>
                <w:sz w:val="20"/>
              </w:rPr>
            </w:pPr>
            <w:r>
              <w:rPr>
                <w:b/>
                <w:color w:val="000000" w:themeColor="text1"/>
                <w:sz w:val="20"/>
              </w:rPr>
              <w:t>Foster Subsidy (Continuing)</w:t>
            </w:r>
          </w:p>
        </w:tc>
        <w:tc>
          <w:tcPr>
            <w:tcW w:w="1843" w:type="dxa"/>
            <w:vAlign w:val="center"/>
          </w:tcPr>
          <w:p w14:paraId="0B514C26" w14:textId="77777777" w:rsidR="006C4F03" w:rsidRDefault="006C4F03" w:rsidP="006C4F03">
            <w:pPr>
              <w:spacing w:line="240" w:lineRule="auto"/>
              <w:jc w:val="right"/>
              <w:rPr>
                <w:rFonts w:eastAsia="Times New Roman"/>
                <w:lang w:val="en-PH" w:eastAsia="en-PH"/>
              </w:rPr>
            </w:pPr>
            <w:r>
              <w:t>890,100</w:t>
            </w:r>
          </w:p>
        </w:tc>
        <w:tc>
          <w:tcPr>
            <w:tcW w:w="1842" w:type="dxa"/>
            <w:vAlign w:val="center"/>
          </w:tcPr>
          <w:p w14:paraId="48E302EE" w14:textId="77777777" w:rsidR="006C4F03" w:rsidRDefault="006C4F03" w:rsidP="006C4F03">
            <w:pPr>
              <w:spacing w:line="240" w:lineRule="auto"/>
              <w:jc w:val="right"/>
              <w:rPr>
                <w:rFonts w:eastAsia="Times New Roman"/>
                <w:lang w:val="en-PH" w:eastAsia="en-PH"/>
              </w:rPr>
            </w:pPr>
            <w:r>
              <w:t>890,100</w:t>
            </w:r>
          </w:p>
        </w:tc>
        <w:tc>
          <w:tcPr>
            <w:tcW w:w="1843" w:type="dxa"/>
            <w:vAlign w:val="center"/>
          </w:tcPr>
          <w:p w14:paraId="47F435FC" w14:textId="77777777" w:rsidR="006C4F03" w:rsidRDefault="006C4F03" w:rsidP="006C4F03">
            <w:pPr>
              <w:spacing w:line="240" w:lineRule="auto"/>
              <w:jc w:val="right"/>
              <w:rPr>
                <w:rFonts w:eastAsia="Times New Roman"/>
                <w:lang w:val="en-PH" w:eastAsia="en-PH"/>
              </w:rPr>
            </w:pPr>
            <w:r>
              <w:t>890,100</w:t>
            </w:r>
          </w:p>
        </w:tc>
        <w:tc>
          <w:tcPr>
            <w:tcW w:w="992" w:type="dxa"/>
          </w:tcPr>
          <w:p w14:paraId="7EC7CFFF" w14:textId="77777777" w:rsidR="006C4F03" w:rsidRPr="00242BAE" w:rsidRDefault="006C4F03" w:rsidP="00242BAE">
            <w:pPr>
              <w:jc w:val="right"/>
              <w:rPr>
                <w:color w:val="000000" w:themeColor="text1"/>
              </w:rPr>
            </w:pPr>
            <w:r w:rsidRPr="00242BAE">
              <w:rPr>
                <w:color w:val="000000" w:themeColor="text1"/>
              </w:rPr>
              <w:t>100%</w:t>
            </w:r>
          </w:p>
        </w:tc>
        <w:tc>
          <w:tcPr>
            <w:tcW w:w="993" w:type="dxa"/>
          </w:tcPr>
          <w:p w14:paraId="52836677" w14:textId="77777777" w:rsidR="006C4F03" w:rsidRPr="00242BAE" w:rsidRDefault="006C4F03" w:rsidP="00242BAE">
            <w:pPr>
              <w:jc w:val="right"/>
              <w:rPr>
                <w:color w:val="000000" w:themeColor="text1"/>
              </w:rPr>
            </w:pPr>
            <w:r w:rsidRPr="00242BAE">
              <w:rPr>
                <w:color w:val="000000" w:themeColor="text1"/>
              </w:rPr>
              <w:t>100%</w:t>
            </w:r>
          </w:p>
        </w:tc>
      </w:tr>
      <w:tr w:rsidR="006C4F03" w14:paraId="5D2888F3" w14:textId="77777777" w:rsidTr="00023229">
        <w:tc>
          <w:tcPr>
            <w:tcW w:w="2978" w:type="dxa"/>
          </w:tcPr>
          <w:p w14:paraId="6C348457" w14:textId="77777777" w:rsidR="006C4F03" w:rsidRPr="00DF233A" w:rsidRDefault="006C4F03" w:rsidP="006C4F03">
            <w:pPr>
              <w:jc w:val="both"/>
              <w:rPr>
                <w:b/>
                <w:color w:val="000000" w:themeColor="text1"/>
                <w:sz w:val="20"/>
              </w:rPr>
            </w:pPr>
            <w:r>
              <w:rPr>
                <w:b/>
                <w:color w:val="000000" w:themeColor="text1"/>
                <w:sz w:val="20"/>
              </w:rPr>
              <w:lastRenderedPageBreak/>
              <w:t>Foster Subsidy (Current)</w:t>
            </w:r>
          </w:p>
        </w:tc>
        <w:tc>
          <w:tcPr>
            <w:tcW w:w="1843" w:type="dxa"/>
            <w:vAlign w:val="center"/>
          </w:tcPr>
          <w:p w14:paraId="35C5FF75" w14:textId="77777777" w:rsidR="006C4F03" w:rsidRDefault="006C4F03" w:rsidP="006C4F03">
            <w:pPr>
              <w:jc w:val="right"/>
            </w:pPr>
            <w:r>
              <w:t>5,544,000</w:t>
            </w:r>
          </w:p>
        </w:tc>
        <w:tc>
          <w:tcPr>
            <w:tcW w:w="1842" w:type="dxa"/>
            <w:vAlign w:val="center"/>
          </w:tcPr>
          <w:p w14:paraId="07E5FD1B" w14:textId="77777777" w:rsidR="006C4F03" w:rsidRDefault="006C4F03" w:rsidP="006C4F03">
            <w:pPr>
              <w:jc w:val="right"/>
            </w:pPr>
            <w:r>
              <w:t>581,900</w:t>
            </w:r>
          </w:p>
        </w:tc>
        <w:tc>
          <w:tcPr>
            <w:tcW w:w="1843" w:type="dxa"/>
            <w:vAlign w:val="center"/>
          </w:tcPr>
          <w:p w14:paraId="1D2BA0DE" w14:textId="77777777" w:rsidR="006C4F03" w:rsidRDefault="006C4F03" w:rsidP="006C4F03">
            <w:pPr>
              <w:jc w:val="right"/>
            </w:pPr>
            <w:r>
              <w:t>581,900</w:t>
            </w:r>
          </w:p>
        </w:tc>
        <w:tc>
          <w:tcPr>
            <w:tcW w:w="992" w:type="dxa"/>
          </w:tcPr>
          <w:p w14:paraId="2DC736FF" w14:textId="77777777" w:rsidR="006C4F03" w:rsidRPr="00242BAE" w:rsidRDefault="00242BAE" w:rsidP="00242BAE">
            <w:pPr>
              <w:jc w:val="right"/>
              <w:rPr>
                <w:color w:val="000000" w:themeColor="text1"/>
              </w:rPr>
            </w:pPr>
            <w:r w:rsidRPr="00242BAE">
              <w:rPr>
                <w:color w:val="000000" w:themeColor="text1"/>
              </w:rPr>
              <w:t>10.49%</w:t>
            </w:r>
          </w:p>
        </w:tc>
        <w:tc>
          <w:tcPr>
            <w:tcW w:w="993" w:type="dxa"/>
          </w:tcPr>
          <w:p w14:paraId="4E95A004" w14:textId="77777777" w:rsidR="006C4F03" w:rsidRPr="00242BAE" w:rsidRDefault="00242BAE" w:rsidP="00242BAE">
            <w:pPr>
              <w:jc w:val="right"/>
              <w:rPr>
                <w:color w:val="000000" w:themeColor="text1"/>
              </w:rPr>
            </w:pPr>
            <w:r w:rsidRPr="00242BAE">
              <w:rPr>
                <w:color w:val="000000" w:themeColor="text1"/>
              </w:rPr>
              <w:t>10.49%</w:t>
            </w:r>
          </w:p>
        </w:tc>
      </w:tr>
      <w:tr w:rsidR="00341200" w14:paraId="18F2DB79" w14:textId="77777777" w:rsidTr="00023229">
        <w:tc>
          <w:tcPr>
            <w:tcW w:w="2978" w:type="dxa"/>
          </w:tcPr>
          <w:p w14:paraId="771AC7C3" w14:textId="77777777" w:rsidR="00341200" w:rsidRPr="00DF233A" w:rsidRDefault="00341200" w:rsidP="00341200">
            <w:pPr>
              <w:jc w:val="both"/>
              <w:rPr>
                <w:b/>
                <w:color w:val="000000" w:themeColor="text1"/>
                <w:sz w:val="20"/>
              </w:rPr>
            </w:pPr>
            <w:r w:rsidRPr="00DF233A">
              <w:rPr>
                <w:b/>
                <w:color w:val="000000" w:themeColor="text1"/>
                <w:sz w:val="20"/>
              </w:rPr>
              <w:t>Social Welfare for Distressed Overseas Filipinos and Trafficked Persons Sub-Program</w:t>
            </w:r>
          </w:p>
        </w:tc>
        <w:tc>
          <w:tcPr>
            <w:tcW w:w="1843" w:type="dxa"/>
          </w:tcPr>
          <w:p w14:paraId="596E7CD9" w14:textId="77777777" w:rsidR="00341200" w:rsidRPr="00242BAE" w:rsidRDefault="00341200" w:rsidP="00242BAE">
            <w:pPr>
              <w:jc w:val="right"/>
              <w:rPr>
                <w:b/>
                <w:color w:val="000000" w:themeColor="text1"/>
              </w:rPr>
            </w:pPr>
          </w:p>
        </w:tc>
        <w:tc>
          <w:tcPr>
            <w:tcW w:w="1842" w:type="dxa"/>
          </w:tcPr>
          <w:p w14:paraId="7EB87828" w14:textId="77777777" w:rsidR="00341200" w:rsidRPr="00242BAE" w:rsidRDefault="00341200" w:rsidP="00242BAE">
            <w:pPr>
              <w:jc w:val="right"/>
              <w:rPr>
                <w:b/>
                <w:color w:val="000000" w:themeColor="text1"/>
              </w:rPr>
            </w:pPr>
          </w:p>
        </w:tc>
        <w:tc>
          <w:tcPr>
            <w:tcW w:w="1843" w:type="dxa"/>
          </w:tcPr>
          <w:p w14:paraId="05E682E2" w14:textId="77777777" w:rsidR="00341200" w:rsidRDefault="00341200" w:rsidP="00242BAE">
            <w:pPr>
              <w:jc w:val="right"/>
              <w:rPr>
                <w:b/>
                <w:color w:val="000000" w:themeColor="text1"/>
              </w:rPr>
            </w:pPr>
          </w:p>
        </w:tc>
        <w:tc>
          <w:tcPr>
            <w:tcW w:w="992" w:type="dxa"/>
          </w:tcPr>
          <w:p w14:paraId="7737BE63" w14:textId="77777777" w:rsidR="00341200" w:rsidRPr="00242BAE" w:rsidRDefault="00341200" w:rsidP="00242BAE">
            <w:pPr>
              <w:jc w:val="right"/>
              <w:rPr>
                <w:color w:val="000000" w:themeColor="text1"/>
              </w:rPr>
            </w:pPr>
          </w:p>
        </w:tc>
        <w:tc>
          <w:tcPr>
            <w:tcW w:w="993" w:type="dxa"/>
          </w:tcPr>
          <w:p w14:paraId="308FD533" w14:textId="77777777" w:rsidR="00341200" w:rsidRPr="00242BAE" w:rsidRDefault="00341200" w:rsidP="00242BAE">
            <w:pPr>
              <w:jc w:val="right"/>
              <w:rPr>
                <w:color w:val="000000" w:themeColor="text1"/>
              </w:rPr>
            </w:pPr>
          </w:p>
        </w:tc>
      </w:tr>
      <w:tr w:rsidR="00341200" w14:paraId="569B621D" w14:textId="77777777" w:rsidTr="00023229">
        <w:tc>
          <w:tcPr>
            <w:tcW w:w="2978" w:type="dxa"/>
          </w:tcPr>
          <w:p w14:paraId="37DA718C" w14:textId="77777777" w:rsidR="00341200" w:rsidRPr="004D4FE4" w:rsidRDefault="00341200" w:rsidP="00341200">
            <w:pPr>
              <w:jc w:val="both"/>
              <w:rPr>
                <w:color w:val="000000" w:themeColor="text1"/>
              </w:rPr>
            </w:pPr>
            <w:r w:rsidRPr="004D4FE4">
              <w:rPr>
                <w:color w:val="000000" w:themeColor="text1"/>
              </w:rPr>
              <w:t xml:space="preserve">Recovery and Reintegration Program for Traffic Persons (RRPTP)        </w:t>
            </w:r>
          </w:p>
        </w:tc>
        <w:tc>
          <w:tcPr>
            <w:tcW w:w="1843" w:type="dxa"/>
          </w:tcPr>
          <w:p w14:paraId="5242D15D" w14:textId="77777777" w:rsidR="00341200" w:rsidRPr="00242BAE" w:rsidRDefault="00242BAE" w:rsidP="00341200">
            <w:pPr>
              <w:jc w:val="right"/>
              <w:rPr>
                <w:color w:val="000000" w:themeColor="text1"/>
              </w:rPr>
            </w:pPr>
            <w:r w:rsidRPr="00242BAE">
              <w:t>999,400.00</w:t>
            </w:r>
          </w:p>
        </w:tc>
        <w:tc>
          <w:tcPr>
            <w:tcW w:w="1842" w:type="dxa"/>
          </w:tcPr>
          <w:p w14:paraId="6866BDE4" w14:textId="77777777" w:rsidR="00341200" w:rsidRPr="00D449D3" w:rsidRDefault="00242BAE" w:rsidP="00341200">
            <w:pPr>
              <w:jc w:val="right"/>
              <w:rPr>
                <w:color w:val="000000" w:themeColor="text1"/>
              </w:rPr>
            </w:pPr>
            <w:r>
              <w:rPr>
                <w:color w:val="000000"/>
              </w:rPr>
              <w:t>132,184.75</w:t>
            </w:r>
          </w:p>
        </w:tc>
        <w:tc>
          <w:tcPr>
            <w:tcW w:w="1843" w:type="dxa"/>
          </w:tcPr>
          <w:p w14:paraId="488FBD41" w14:textId="77777777" w:rsidR="00341200" w:rsidRPr="00D449D3" w:rsidRDefault="00242BAE" w:rsidP="00341200">
            <w:pPr>
              <w:jc w:val="right"/>
              <w:rPr>
                <w:color w:val="000000" w:themeColor="text1"/>
              </w:rPr>
            </w:pPr>
            <w:r>
              <w:rPr>
                <w:color w:val="000000"/>
              </w:rPr>
              <w:t>132,184.75</w:t>
            </w:r>
          </w:p>
        </w:tc>
        <w:tc>
          <w:tcPr>
            <w:tcW w:w="992" w:type="dxa"/>
          </w:tcPr>
          <w:p w14:paraId="4D5C2FE5" w14:textId="77777777" w:rsidR="00341200" w:rsidRPr="004D4FE4" w:rsidRDefault="003F2EFD" w:rsidP="00341200">
            <w:pPr>
              <w:jc w:val="both"/>
              <w:rPr>
                <w:color w:val="000000" w:themeColor="text1"/>
              </w:rPr>
            </w:pPr>
            <w:r>
              <w:rPr>
                <w:color w:val="000000" w:themeColor="text1"/>
              </w:rPr>
              <w:t>13.23%</w:t>
            </w:r>
          </w:p>
        </w:tc>
        <w:tc>
          <w:tcPr>
            <w:tcW w:w="993" w:type="dxa"/>
          </w:tcPr>
          <w:p w14:paraId="64A63064" w14:textId="77777777" w:rsidR="00341200" w:rsidRPr="004D4FE4" w:rsidRDefault="003F2EFD" w:rsidP="00341200">
            <w:pPr>
              <w:jc w:val="both"/>
              <w:rPr>
                <w:color w:val="000000" w:themeColor="text1"/>
              </w:rPr>
            </w:pPr>
            <w:r>
              <w:rPr>
                <w:color w:val="000000" w:themeColor="text1"/>
              </w:rPr>
              <w:t>13.23%</w:t>
            </w:r>
          </w:p>
        </w:tc>
      </w:tr>
      <w:tr w:rsidR="00242BAE" w14:paraId="35AB2840" w14:textId="77777777" w:rsidTr="00023229">
        <w:tc>
          <w:tcPr>
            <w:tcW w:w="2978" w:type="dxa"/>
          </w:tcPr>
          <w:p w14:paraId="220FE10E" w14:textId="77777777" w:rsidR="00242BAE" w:rsidRPr="004D4FE4" w:rsidRDefault="00242BAE" w:rsidP="00242BAE">
            <w:pPr>
              <w:jc w:val="both"/>
              <w:rPr>
                <w:color w:val="000000" w:themeColor="text1"/>
              </w:rPr>
            </w:pPr>
            <w:r w:rsidRPr="004D4FE4">
              <w:rPr>
                <w:color w:val="000000" w:themeColor="text1"/>
              </w:rPr>
              <w:t>Services to Overseas Filipinos and their Families (International Social Services Office - ISSO)</w:t>
            </w:r>
          </w:p>
        </w:tc>
        <w:tc>
          <w:tcPr>
            <w:tcW w:w="1843" w:type="dxa"/>
          </w:tcPr>
          <w:p w14:paraId="5639ACDA" w14:textId="77777777" w:rsidR="00242BAE" w:rsidRPr="00242BAE" w:rsidRDefault="00242BAE" w:rsidP="00242BAE">
            <w:pPr>
              <w:jc w:val="right"/>
              <w:rPr>
                <w:b/>
                <w:color w:val="000000" w:themeColor="text1"/>
              </w:rPr>
            </w:pPr>
            <w:r w:rsidRPr="00242BAE">
              <w:rPr>
                <w:color w:val="000000"/>
              </w:rPr>
              <w:t>463,810.56</w:t>
            </w:r>
          </w:p>
        </w:tc>
        <w:tc>
          <w:tcPr>
            <w:tcW w:w="1842" w:type="dxa"/>
          </w:tcPr>
          <w:p w14:paraId="7DA90E12" w14:textId="77777777" w:rsidR="00242BAE" w:rsidRPr="00242BAE" w:rsidRDefault="00242BAE" w:rsidP="00242BAE">
            <w:pPr>
              <w:jc w:val="right"/>
              <w:rPr>
                <w:b/>
                <w:color w:val="000000" w:themeColor="text1"/>
              </w:rPr>
            </w:pPr>
            <w:r w:rsidRPr="00242BAE">
              <w:rPr>
                <w:color w:val="000000"/>
                <w:shd w:val="clear" w:color="auto" w:fill="FFFFFF"/>
              </w:rPr>
              <w:t>75</w:t>
            </w:r>
            <w:r>
              <w:rPr>
                <w:color w:val="000000"/>
                <w:shd w:val="clear" w:color="auto" w:fill="FFFFFF"/>
              </w:rPr>
              <w:t>,</w:t>
            </w:r>
            <w:r w:rsidRPr="00242BAE">
              <w:rPr>
                <w:color w:val="000000"/>
                <w:shd w:val="clear" w:color="auto" w:fill="FFFFFF"/>
              </w:rPr>
              <w:t>442.86</w:t>
            </w:r>
          </w:p>
        </w:tc>
        <w:tc>
          <w:tcPr>
            <w:tcW w:w="1843" w:type="dxa"/>
          </w:tcPr>
          <w:p w14:paraId="598DB170" w14:textId="77777777" w:rsidR="00242BAE" w:rsidRDefault="00242BAE" w:rsidP="00242BAE">
            <w:pPr>
              <w:jc w:val="right"/>
              <w:rPr>
                <w:b/>
                <w:color w:val="000000" w:themeColor="text1"/>
              </w:rPr>
            </w:pPr>
            <w:r w:rsidRPr="00242BAE">
              <w:rPr>
                <w:color w:val="000000"/>
                <w:shd w:val="clear" w:color="auto" w:fill="FFFFFF"/>
              </w:rPr>
              <w:t>75</w:t>
            </w:r>
            <w:r>
              <w:rPr>
                <w:color w:val="000000"/>
                <w:shd w:val="clear" w:color="auto" w:fill="FFFFFF"/>
              </w:rPr>
              <w:t>,</w:t>
            </w:r>
            <w:r w:rsidRPr="00242BAE">
              <w:rPr>
                <w:color w:val="000000"/>
                <w:shd w:val="clear" w:color="auto" w:fill="FFFFFF"/>
              </w:rPr>
              <w:t>442.86</w:t>
            </w:r>
          </w:p>
        </w:tc>
        <w:tc>
          <w:tcPr>
            <w:tcW w:w="992" w:type="dxa"/>
          </w:tcPr>
          <w:p w14:paraId="2BDCFAEB" w14:textId="77777777" w:rsidR="00242BAE" w:rsidRPr="00242BAE" w:rsidRDefault="00242BAE" w:rsidP="00242BAE">
            <w:pPr>
              <w:jc w:val="right"/>
              <w:rPr>
                <w:color w:val="000000" w:themeColor="text1"/>
              </w:rPr>
            </w:pPr>
            <w:r w:rsidRPr="00242BAE">
              <w:rPr>
                <w:color w:val="000000" w:themeColor="text1"/>
              </w:rPr>
              <w:t>16.27%</w:t>
            </w:r>
          </w:p>
        </w:tc>
        <w:tc>
          <w:tcPr>
            <w:tcW w:w="993" w:type="dxa"/>
          </w:tcPr>
          <w:p w14:paraId="5792CC0E" w14:textId="77777777" w:rsidR="00242BAE" w:rsidRPr="00242BAE" w:rsidRDefault="00242BAE" w:rsidP="00242BAE">
            <w:pPr>
              <w:jc w:val="right"/>
              <w:rPr>
                <w:color w:val="000000" w:themeColor="text1"/>
              </w:rPr>
            </w:pPr>
            <w:r w:rsidRPr="00242BAE">
              <w:rPr>
                <w:color w:val="000000" w:themeColor="text1"/>
              </w:rPr>
              <w:t>16.27%</w:t>
            </w:r>
          </w:p>
        </w:tc>
      </w:tr>
      <w:tr w:rsidR="00341200" w14:paraId="054A081C" w14:textId="77777777" w:rsidTr="00023229">
        <w:tc>
          <w:tcPr>
            <w:tcW w:w="2978" w:type="dxa"/>
          </w:tcPr>
          <w:p w14:paraId="02340010" w14:textId="77777777" w:rsidR="00341200" w:rsidRPr="00664B4D" w:rsidRDefault="00341200" w:rsidP="00341200">
            <w:pPr>
              <w:jc w:val="both"/>
              <w:rPr>
                <w:color w:val="000000" w:themeColor="text1"/>
              </w:rPr>
            </w:pPr>
            <w:r w:rsidRPr="00664B4D">
              <w:rPr>
                <w:color w:val="000000" w:themeColor="text1"/>
              </w:rPr>
              <w:t>Disaster Management Program</w:t>
            </w:r>
          </w:p>
        </w:tc>
        <w:tc>
          <w:tcPr>
            <w:tcW w:w="1843" w:type="dxa"/>
          </w:tcPr>
          <w:p w14:paraId="1FF30D01" w14:textId="77777777" w:rsidR="00341200" w:rsidRDefault="00341200" w:rsidP="00341200">
            <w:pPr>
              <w:jc w:val="right"/>
              <w:rPr>
                <w:b/>
                <w:color w:val="000000" w:themeColor="text1"/>
              </w:rPr>
            </w:pPr>
          </w:p>
        </w:tc>
        <w:tc>
          <w:tcPr>
            <w:tcW w:w="1842" w:type="dxa"/>
          </w:tcPr>
          <w:p w14:paraId="4A4692C4" w14:textId="77777777" w:rsidR="00341200" w:rsidRDefault="00341200" w:rsidP="00341200">
            <w:pPr>
              <w:jc w:val="both"/>
              <w:rPr>
                <w:b/>
                <w:color w:val="000000" w:themeColor="text1"/>
              </w:rPr>
            </w:pPr>
          </w:p>
        </w:tc>
        <w:tc>
          <w:tcPr>
            <w:tcW w:w="1843" w:type="dxa"/>
          </w:tcPr>
          <w:p w14:paraId="10794AEA" w14:textId="77777777" w:rsidR="00341200" w:rsidRDefault="00341200" w:rsidP="00341200">
            <w:pPr>
              <w:jc w:val="both"/>
              <w:rPr>
                <w:b/>
                <w:color w:val="000000" w:themeColor="text1"/>
              </w:rPr>
            </w:pPr>
          </w:p>
        </w:tc>
        <w:tc>
          <w:tcPr>
            <w:tcW w:w="992" w:type="dxa"/>
          </w:tcPr>
          <w:p w14:paraId="183BA117" w14:textId="77777777" w:rsidR="00341200" w:rsidRDefault="00341200" w:rsidP="00341200">
            <w:pPr>
              <w:jc w:val="both"/>
              <w:rPr>
                <w:b/>
                <w:color w:val="000000" w:themeColor="text1"/>
              </w:rPr>
            </w:pPr>
          </w:p>
        </w:tc>
        <w:tc>
          <w:tcPr>
            <w:tcW w:w="993" w:type="dxa"/>
          </w:tcPr>
          <w:p w14:paraId="429FBE08" w14:textId="77777777" w:rsidR="00341200" w:rsidRDefault="00341200" w:rsidP="00341200">
            <w:pPr>
              <w:jc w:val="both"/>
              <w:rPr>
                <w:b/>
                <w:color w:val="000000" w:themeColor="text1"/>
              </w:rPr>
            </w:pPr>
          </w:p>
        </w:tc>
      </w:tr>
      <w:tr w:rsidR="00341200" w14:paraId="789ABCFD" w14:textId="77777777" w:rsidTr="00023229">
        <w:tc>
          <w:tcPr>
            <w:tcW w:w="2978" w:type="dxa"/>
          </w:tcPr>
          <w:p w14:paraId="0425CD6D" w14:textId="77777777" w:rsidR="00341200" w:rsidRPr="00664B4D" w:rsidRDefault="00341200" w:rsidP="00341200">
            <w:pPr>
              <w:jc w:val="both"/>
              <w:rPr>
                <w:color w:val="000000" w:themeColor="text1"/>
              </w:rPr>
            </w:pPr>
            <w:r w:rsidRPr="00664B4D">
              <w:rPr>
                <w:color w:val="000000" w:themeColor="text1"/>
              </w:rPr>
              <w:t>Cash for Work (CFW) for Community Works on Climate Change Adaptation and Mitigation (CCAM)</w:t>
            </w:r>
          </w:p>
        </w:tc>
        <w:tc>
          <w:tcPr>
            <w:tcW w:w="1843" w:type="dxa"/>
            <w:shd w:val="clear" w:color="auto" w:fill="FFFFFF" w:themeFill="background1"/>
          </w:tcPr>
          <w:p w14:paraId="39468B5E" w14:textId="77777777" w:rsidR="00341200" w:rsidRPr="00664B4D" w:rsidRDefault="00664B4D" w:rsidP="00341200">
            <w:pPr>
              <w:jc w:val="right"/>
              <w:rPr>
                <w:color w:val="000000" w:themeColor="text1"/>
              </w:rPr>
            </w:pPr>
            <w:r w:rsidRPr="00664B4D">
              <w:rPr>
                <w:bCs/>
                <w:color w:val="000000"/>
              </w:rPr>
              <w:t>113,109,000</w:t>
            </w:r>
          </w:p>
        </w:tc>
        <w:tc>
          <w:tcPr>
            <w:tcW w:w="1842" w:type="dxa"/>
            <w:shd w:val="clear" w:color="auto" w:fill="FFFFFF" w:themeFill="background1"/>
          </w:tcPr>
          <w:p w14:paraId="625D5489" w14:textId="77777777" w:rsidR="00341200" w:rsidRPr="004D4FE4" w:rsidRDefault="00664B4D" w:rsidP="00341200">
            <w:pPr>
              <w:jc w:val="right"/>
              <w:rPr>
                <w:color w:val="000000" w:themeColor="text1"/>
              </w:rPr>
            </w:pPr>
            <w:r>
              <w:rPr>
                <w:color w:val="000000" w:themeColor="text1"/>
              </w:rPr>
              <w:t>0</w:t>
            </w:r>
          </w:p>
        </w:tc>
        <w:tc>
          <w:tcPr>
            <w:tcW w:w="1843" w:type="dxa"/>
            <w:shd w:val="clear" w:color="auto" w:fill="FFFFFF" w:themeFill="background1"/>
          </w:tcPr>
          <w:p w14:paraId="3180FF3C" w14:textId="77777777" w:rsidR="00341200" w:rsidRPr="004D4FE4" w:rsidRDefault="00341200" w:rsidP="00341200">
            <w:pPr>
              <w:jc w:val="right"/>
              <w:rPr>
                <w:color w:val="000000" w:themeColor="text1"/>
              </w:rPr>
            </w:pPr>
          </w:p>
        </w:tc>
        <w:tc>
          <w:tcPr>
            <w:tcW w:w="992" w:type="dxa"/>
          </w:tcPr>
          <w:p w14:paraId="3CCC771D" w14:textId="77777777" w:rsidR="00341200" w:rsidRPr="004D4FE4" w:rsidRDefault="00341200" w:rsidP="00341200">
            <w:pPr>
              <w:jc w:val="both"/>
              <w:rPr>
                <w:color w:val="000000" w:themeColor="text1"/>
              </w:rPr>
            </w:pPr>
          </w:p>
        </w:tc>
        <w:tc>
          <w:tcPr>
            <w:tcW w:w="993" w:type="dxa"/>
          </w:tcPr>
          <w:p w14:paraId="0B0276F8" w14:textId="77777777" w:rsidR="00341200" w:rsidRPr="004D4FE4" w:rsidRDefault="00341200" w:rsidP="00341200">
            <w:pPr>
              <w:jc w:val="both"/>
              <w:rPr>
                <w:color w:val="000000" w:themeColor="text1"/>
              </w:rPr>
            </w:pPr>
          </w:p>
        </w:tc>
      </w:tr>
      <w:tr w:rsidR="00664B4D" w14:paraId="0413B6D5" w14:textId="77777777" w:rsidTr="00023229">
        <w:tc>
          <w:tcPr>
            <w:tcW w:w="2978" w:type="dxa"/>
          </w:tcPr>
          <w:p w14:paraId="63513F40" w14:textId="77777777" w:rsidR="00664B4D" w:rsidRPr="00664B4D" w:rsidRDefault="00664B4D" w:rsidP="00664B4D">
            <w:pPr>
              <w:jc w:val="both"/>
              <w:rPr>
                <w:color w:val="000000" w:themeColor="text1"/>
              </w:rPr>
            </w:pPr>
            <w:r w:rsidRPr="00664B4D">
              <w:rPr>
                <w:color w:val="000000" w:themeColor="text1"/>
              </w:rPr>
              <w:t>Family Food Pack</w:t>
            </w:r>
          </w:p>
        </w:tc>
        <w:tc>
          <w:tcPr>
            <w:tcW w:w="1843" w:type="dxa"/>
            <w:shd w:val="clear" w:color="auto" w:fill="FFFFFF" w:themeFill="background1"/>
          </w:tcPr>
          <w:p w14:paraId="3EF47881" w14:textId="77777777" w:rsidR="00664B4D" w:rsidRPr="00664B4D" w:rsidRDefault="00664B4D" w:rsidP="00664B4D">
            <w:pPr>
              <w:spacing w:line="240" w:lineRule="auto"/>
              <w:jc w:val="right"/>
              <w:rPr>
                <w:rFonts w:eastAsia="Times New Roman"/>
                <w:bCs/>
                <w:lang w:val="en-PH" w:eastAsia="en-PH"/>
              </w:rPr>
            </w:pPr>
            <w:r w:rsidRPr="00664B4D">
              <w:rPr>
                <w:bCs/>
              </w:rPr>
              <w:t>9,518,188.20</w:t>
            </w:r>
          </w:p>
        </w:tc>
        <w:tc>
          <w:tcPr>
            <w:tcW w:w="1842" w:type="dxa"/>
            <w:shd w:val="clear" w:color="auto" w:fill="FFFFFF" w:themeFill="background1"/>
          </w:tcPr>
          <w:p w14:paraId="43BFC92D" w14:textId="77777777" w:rsidR="00664B4D" w:rsidRPr="00664B4D" w:rsidRDefault="00664B4D" w:rsidP="00664B4D">
            <w:pPr>
              <w:spacing w:line="240" w:lineRule="auto"/>
              <w:jc w:val="right"/>
              <w:rPr>
                <w:rFonts w:eastAsia="Times New Roman"/>
                <w:bCs/>
                <w:lang w:val="en-PH" w:eastAsia="en-PH"/>
              </w:rPr>
            </w:pPr>
            <w:r w:rsidRPr="00664B4D">
              <w:rPr>
                <w:bCs/>
              </w:rPr>
              <w:t>9,518,188.20</w:t>
            </w:r>
          </w:p>
        </w:tc>
        <w:tc>
          <w:tcPr>
            <w:tcW w:w="1843" w:type="dxa"/>
            <w:shd w:val="clear" w:color="auto" w:fill="FFFFFF" w:themeFill="background1"/>
          </w:tcPr>
          <w:p w14:paraId="2F9594CC" w14:textId="77777777" w:rsidR="00664B4D" w:rsidRPr="00664B4D" w:rsidRDefault="00664B4D" w:rsidP="00664B4D">
            <w:pPr>
              <w:spacing w:line="240" w:lineRule="auto"/>
              <w:jc w:val="right"/>
              <w:rPr>
                <w:rFonts w:eastAsia="Times New Roman"/>
                <w:bCs/>
                <w:lang w:val="en-PH" w:eastAsia="en-PH"/>
              </w:rPr>
            </w:pPr>
            <w:r w:rsidRPr="00664B4D">
              <w:rPr>
                <w:bCs/>
              </w:rPr>
              <w:t>9,518,188.20</w:t>
            </w:r>
          </w:p>
        </w:tc>
        <w:tc>
          <w:tcPr>
            <w:tcW w:w="992" w:type="dxa"/>
          </w:tcPr>
          <w:p w14:paraId="187A1A99" w14:textId="77777777" w:rsidR="00664B4D" w:rsidRPr="00664B4D" w:rsidRDefault="00664B4D" w:rsidP="00664B4D">
            <w:pPr>
              <w:jc w:val="right"/>
              <w:rPr>
                <w:color w:val="000000" w:themeColor="text1"/>
              </w:rPr>
            </w:pPr>
            <w:r w:rsidRPr="00664B4D">
              <w:rPr>
                <w:color w:val="000000" w:themeColor="text1"/>
              </w:rPr>
              <w:t>100%</w:t>
            </w:r>
          </w:p>
        </w:tc>
        <w:tc>
          <w:tcPr>
            <w:tcW w:w="993" w:type="dxa"/>
          </w:tcPr>
          <w:p w14:paraId="1F5B13CF" w14:textId="77777777" w:rsidR="00664B4D" w:rsidRPr="00664B4D" w:rsidRDefault="00664B4D" w:rsidP="00664B4D">
            <w:pPr>
              <w:jc w:val="right"/>
              <w:rPr>
                <w:color w:val="000000" w:themeColor="text1"/>
              </w:rPr>
            </w:pPr>
            <w:r w:rsidRPr="00664B4D">
              <w:rPr>
                <w:color w:val="000000" w:themeColor="text1"/>
              </w:rPr>
              <w:t>100%</w:t>
            </w:r>
          </w:p>
        </w:tc>
      </w:tr>
      <w:tr w:rsidR="00664B4D" w14:paraId="633E62D6" w14:textId="77777777" w:rsidTr="00023229">
        <w:tc>
          <w:tcPr>
            <w:tcW w:w="2978" w:type="dxa"/>
          </w:tcPr>
          <w:p w14:paraId="0359B990" w14:textId="77777777" w:rsidR="00664B4D" w:rsidRPr="00664B4D" w:rsidRDefault="00664B4D" w:rsidP="00664B4D">
            <w:pPr>
              <w:jc w:val="both"/>
              <w:rPr>
                <w:color w:val="000000" w:themeColor="text1"/>
              </w:rPr>
            </w:pPr>
            <w:r w:rsidRPr="00664B4D">
              <w:rPr>
                <w:color w:val="000000" w:themeColor="text1"/>
              </w:rPr>
              <w:t>Non Food Items</w:t>
            </w:r>
          </w:p>
        </w:tc>
        <w:tc>
          <w:tcPr>
            <w:tcW w:w="1843" w:type="dxa"/>
            <w:tcBorders>
              <w:top w:val="nil"/>
              <w:left w:val="nil"/>
              <w:bottom w:val="single" w:sz="4" w:space="0" w:color="000000"/>
              <w:right w:val="single" w:sz="4" w:space="0" w:color="000000"/>
            </w:tcBorders>
            <w:shd w:val="clear" w:color="auto" w:fill="FFFFFF" w:themeFill="background1"/>
          </w:tcPr>
          <w:p w14:paraId="243074EC" w14:textId="77777777" w:rsidR="00664B4D" w:rsidRPr="00664B4D" w:rsidRDefault="00664B4D" w:rsidP="00664B4D">
            <w:pPr>
              <w:jc w:val="right"/>
              <w:rPr>
                <w:bCs/>
              </w:rPr>
            </w:pPr>
            <w:r w:rsidRPr="00664B4D">
              <w:rPr>
                <w:bCs/>
              </w:rPr>
              <w:t>3,014,199.35</w:t>
            </w:r>
          </w:p>
        </w:tc>
        <w:tc>
          <w:tcPr>
            <w:tcW w:w="1842" w:type="dxa"/>
            <w:tcBorders>
              <w:top w:val="nil"/>
              <w:left w:val="nil"/>
              <w:bottom w:val="single" w:sz="4" w:space="0" w:color="000000"/>
              <w:right w:val="single" w:sz="4" w:space="0" w:color="000000"/>
            </w:tcBorders>
            <w:shd w:val="clear" w:color="auto" w:fill="FFFFFF" w:themeFill="background1"/>
          </w:tcPr>
          <w:p w14:paraId="720250A2" w14:textId="77777777" w:rsidR="00664B4D" w:rsidRPr="00664B4D" w:rsidRDefault="00664B4D" w:rsidP="00664B4D">
            <w:pPr>
              <w:jc w:val="right"/>
              <w:rPr>
                <w:bCs/>
              </w:rPr>
            </w:pPr>
            <w:r w:rsidRPr="00664B4D">
              <w:rPr>
                <w:bCs/>
              </w:rPr>
              <w:t>3,014,199.35</w:t>
            </w:r>
          </w:p>
        </w:tc>
        <w:tc>
          <w:tcPr>
            <w:tcW w:w="1843" w:type="dxa"/>
            <w:tcBorders>
              <w:top w:val="nil"/>
              <w:left w:val="nil"/>
              <w:bottom w:val="single" w:sz="4" w:space="0" w:color="000000"/>
              <w:right w:val="single" w:sz="4" w:space="0" w:color="000000"/>
            </w:tcBorders>
            <w:shd w:val="clear" w:color="auto" w:fill="FFFFFF" w:themeFill="background1"/>
          </w:tcPr>
          <w:p w14:paraId="5DDC3AF4" w14:textId="77777777" w:rsidR="00664B4D" w:rsidRPr="00664B4D" w:rsidRDefault="00664B4D" w:rsidP="00664B4D">
            <w:pPr>
              <w:jc w:val="right"/>
              <w:rPr>
                <w:bCs/>
              </w:rPr>
            </w:pPr>
            <w:r w:rsidRPr="00664B4D">
              <w:rPr>
                <w:bCs/>
              </w:rPr>
              <w:t>3,014,199.35</w:t>
            </w:r>
          </w:p>
        </w:tc>
        <w:tc>
          <w:tcPr>
            <w:tcW w:w="992" w:type="dxa"/>
          </w:tcPr>
          <w:p w14:paraId="64CE9641" w14:textId="77777777" w:rsidR="00664B4D" w:rsidRPr="00664B4D" w:rsidRDefault="00664B4D" w:rsidP="00664B4D">
            <w:pPr>
              <w:jc w:val="right"/>
              <w:rPr>
                <w:bCs/>
                <w:color w:val="000000"/>
              </w:rPr>
            </w:pPr>
            <w:r w:rsidRPr="00664B4D">
              <w:rPr>
                <w:bCs/>
                <w:color w:val="000000"/>
              </w:rPr>
              <w:t>100%</w:t>
            </w:r>
          </w:p>
        </w:tc>
        <w:tc>
          <w:tcPr>
            <w:tcW w:w="993" w:type="dxa"/>
          </w:tcPr>
          <w:p w14:paraId="64671FDE" w14:textId="77777777" w:rsidR="00664B4D" w:rsidRPr="00664B4D" w:rsidRDefault="00664B4D" w:rsidP="00664B4D">
            <w:pPr>
              <w:jc w:val="right"/>
              <w:rPr>
                <w:bCs/>
                <w:color w:val="000000"/>
              </w:rPr>
            </w:pPr>
            <w:r w:rsidRPr="00664B4D">
              <w:rPr>
                <w:bCs/>
                <w:color w:val="000000"/>
              </w:rPr>
              <w:t>100%</w:t>
            </w:r>
          </w:p>
        </w:tc>
      </w:tr>
      <w:tr w:rsidR="00664B4D" w14:paraId="2BEB936D" w14:textId="77777777" w:rsidTr="00023229">
        <w:tc>
          <w:tcPr>
            <w:tcW w:w="2978" w:type="dxa"/>
          </w:tcPr>
          <w:p w14:paraId="6B6287C0" w14:textId="77777777" w:rsidR="00664B4D" w:rsidRPr="00664B4D" w:rsidRDefault="00664B4D" w:rsidP="00664B4D">
            <w:pPr>
              <w:jc w:val="both"/>
              <w:rPr>
                <w:color w:val="000000" w:themeColor="text1"/>
              </w:rPr>
            </w:pPr>
            <w:r w:rsidRPr="00664B4D">
              <w:rPr>
                <w:color w:val="000000" w:themeColor="text1"/>
              </w:rPr>
              <w:t>Food For Work</w:t>
            </w:r>
          </w:p>
        </w:tc>
        <w:tc>
          <w:tcPr>
            <w:tcW w:w="1843" w:type="dxa"/>
            <w:tcBorders>
              <w:top w:val="nil"/>
              <w:left w:val="nil"/>
              <w:bottom w:val="single" w:sz="4" w:space="0" w:color="000000"/>
              <w:right w:val="single" w:sz="4" w:space="0" w:color="000000"/>
            </w:tcBorders>
            <w:shd w:val="clear" w:color="auto" w:fill="FFFFFF" w:themeFill="background1"/>
          </w:tcPr>
          <w:p w14:paraId="3DFED30D" w14:textId="77777777" w:rsidR="00664B4D" w:rsidRPr="00664B4D" w:rsidRDefault="00664B4D" w:rsidP="00664B4D">
            <w:pPr>
              <w:jc w:val="right"/>
              <w:rPr>
                <w:bCs/>
              </w:rPr>
            </w:pPr>
            <w:r w:rsidRPr="00664B4D">
              <w:rPr>
                <w:bCs/>
              </w:rPr>
              <w:t>1,145,640.00</w:t>
            </w:r>
          </w:p>
        </w:tc>
        <w:tc>
          <w:tcPr>
            <w:tcW w:w="1842" w:type="dxa"/>
            <w:tcBorders>
              <w:top w:val="nil"/>
              <w:left w:val="nil"/>
              <w:bottom w:val="single" w:sz="4" w:space="0" w:color="000000"/>
              <w:right w:val="single" w:sz="4" w:space="0" w:color="000000"/>
            </w:tcBorders>
            <w:shd w:val="clear" w:color="auto" w:fill="FFFFFF" w:themeFill="background1"/>
          </w:tcPr>
          <w:p w14:paraId="73F36EC3" w14:textId="77777777" w:rsidR="00664B4D" w:rsidRPr="00664B4D" w:rsidRDefault="00664B4D" w:rsidP="00664B4D">
            <w:pPr>
              <w:jc w:val="right"/>
              <w:rPr>
                <w:bCs/>
              </w:rPr>
            </w:pPr>
            <w:r w:rsidRPr="00664B4D">
              <w:rPr>
                <w:bCs/>
              </w:rPr>
              <w:t>1,145,640.00</w:t>
            </w:r>
          </w:p>
        </w:tc>
        <w:tc>
          <w:tcPr>
            <w:tcW w:w="1843" w:type="dxa"/>
            <w:tcBorders>
              <w:top w:val="nil"/>
              <w:left w:val="nil"/>
              <w:bottom w:val="single" w:sz="4" w:space="0" w:color="000000"/>
              <w:right w:val="single" w:sz="4" w:space="0" w:color="000000"/>
            </w:tcBorders>
            <w:shd w:val="clear" w:color="auto" w:fill="FFFFFF" w:themeFill="background1"/>
          </w:tcPr>
          <w:p w14:paraId="5CED3543" w14:textId="77777777" w:rsidR="00664B4D" w:rsidRPr="00664B4D" w:rsidRDefault="00664B4D" w:rsidP="00664B4D">
            <w:pPr>
              <w:jc w:val="right"/>
              <w:rPr>
                <w:bCs/>
              </w:rPr>
            </w:pPr>
            <w:r w:rsidRPr="00664B4D">
              <w:rPr>
                <w:bCs/>
              </w:rPr>
              <w:t>1,145,640.00</w:t>
            </w:r>
          </w:p>
        </w:tc>
        <w:tc>
          <w:tcPr>
            <w:tcW w:w="992" w:type="dxa"/>
          </w:tcPr>
          <w:p w14:paraId="13212016" w14:textId="77777777" w:rsidR="00664B4D" w:rsidRPr="00664B4D" w:rsidRDefault="00664B4D" w:rsidP="00664B4D">
            <w:pPr>
              <w:jc w:val="right"/>
              <w:rPr>
                <w:bCs/>
                <w:color w:val="000000"/>
              </w:rPr>
            </w:pPr>
            <w:r w:rsidRPr="00664B4D">
              <w:rPr>
                <w:bCs/>
                <w:color w:val="000000"/>
              </w:rPr>
              <w:t>100%</w:t>
            </w:r>
          </w:p>
        </w:tc>
        <w:tc>
          <w:tcPr>
            <w:tcW w:w="993" w:type="dxa"/>
          </w:tcPr>
          <w:p w14:paraId="78D8B02C" w14:textId="77777777" w:rsidR="00664B4D" w:rsidRPr="00664B4D" w:rsidRDefault="00664B4D" w:rsidP="00664B4D">
            <w:pPr>
              <w:jc w:val="right"/>
              <w:rPr>
                <w:bCs/>
                <w:color w:val="000000"/>
              </w:rPr>
            </w:pPr>
            <w:r w:rsidRPr="00664B4D">
              <w:rPr>
                <w:bCs/>
                <w:color w:val="000000"/>
              </w:rPr>
              <w:t>100%</w:t>
            </w:r>
          </w:p>
        </w:tc>
      </w:tr>
      <w:tr w:rsidR="00664B4D" w14:paraId="618D3BF6" w14:textId="77777777" w:rsidTr="00023229">
        <w:tc>
          <w:tcPr>
            <w:tcW w:w="2978" w:type="dxa"/>
          </w:tcPr>
          <w:p w14:paraId="078397CA" w14:textId="77777777" w:rsidR="00664B4D" w:rsidRPr="00664B4D" w:rsidRDefault="00664B4D" w:rsidP="00664B4D">
            <w:pPr>
              <w:jc w:val="both"/>
              <w:rPr>
                <w:color w:val="000000" w:themeColor="text1"/>
              </w:rPr>
            </w:pPr>
            <w:r>
              <w:rPr>
                <w:color w:val="000000" w:themeColor="text1"/>
              </w:rPr>
              <w:t>QRF – Calamity Fund</w:t>
            </w:r>
          </w:p>
        </w:tc>
        <w:tc>
          <w:tcPr>
            <w:tcW w:w="1843" w:type="dxa"/>
            <w:tcBorders>
              <w:top w:val="nil"/>
              <w:left w:val="nil"/>
              <w:bottom w:val="single" w:sz="4" w:space="0" w:color="000000"/>
              <w:right w:val="single" w:sz="4" w:space="0" w:color="000000"/>
            </w:tcBorders>
            <w:shd w:val="clear" w:color="auto" w:fill="FFFFFF" w:themeFill="background1"/>
          </w:tcPr>
          <w:p w14:paraId="5E62D608" w14:textId="77777777" w:rsidR="00664B4D" w:rsidRDefault="00664B4D" w:rsidP="00664B4D">
            <w:pPr>
              <w:jc w:val="right"/>
              <w:rPr>
                <w:b/>
                <w:bCs/>
              </w:rPr>
            </w:pPr>
          </w:p>
        </w:tc>
        <w:tc>
          <w:tcPr>
            <w:tcW w:w="1842" w:type="dxa"/>
            <w:tcBorders>
              <w:top w:val="nil"/>
              <w:left w:val="nil"/>
              <w:bottom w:val="single" w:sz="4" w:space="0" w:color="000000"/>
              <w:right w:val="single" w:sz="4" w:space="0" w:color="000000"/>
            </w:tcBorders>
            <w:shd w:val="clear" w:color="auto" w:fill="FFFFFF" w:themeFill="background1"/>
          </w:tcPr>
          <w:p w14:paraId="10B9CCD9" w14:textId="77777777" w:rsidR="00664B4D" w:rsidRDefault="00664B4D" w:rsidP="00664B4D">
            <w:pPr>
              <w:jc w:val="right"/>
              <w:rPr>
                <w:b/>
                <w:bCs/>
              </w:rPr>
            </w:pPr>
          </w:p>
        </w:tc>
        <w:tc>
          <w:tcPr>
            <w:tcW w:w="1843" w:type="dxa"/>
            <w:tcBorders>
              <w:top w:val="nil"/>
              <w:left w:val="nil"/>
              <w:bottom w:val="single" w:sz="4" w:space="0" w:color="000000"/>
              <w:right w:val="single" w:sz="4" w:space="0" w:color="000000"/>
            </w:tcBorders>
            <w:shd w:val="clear" w:color="auto" w:fill="FFFFFF" w:themeFill="background1"/>
          </w:tcPr>
          <w:p w14:paraId="42F44F70" w14:textId="77777777" w:rsidR="00664B4D" w:rsidRDefault="00664B4D" w:rsidP="00664B4D">
            <w:pPr>
              <w:jc w:val="right"/>
              <w:rPr>
                <w:b/>
                <w:bCs/>
              </w:rPr>
            </w:pPr>
          </w:p>
        </w:tc>
        <w:tc>
          <w:tcPr>
            <w:tcW w:w="992" w:type="dxa"/>
          </w:tcPr>
          <w:p w14:paraId="319854C7" w14:textId="77777777" w:rsidR="00664B4D" w:rsidRDefault="00664B4D" w:rsidP="00664B4D">
            <w:pPr>
              <w:jc w:val="right"/>
              <w:rPr>
                <w:bCs/>
                <w:color w:val="000000"/>
              </w:rPr>
            </w:pPr>
          </w:p>
        </w:tc>
        <w:tc>
          <w:tcPr>
            <w:tcW w:w="993" w:type="dxa"/>
          </w:tcPr>
          <w:p w14:paraId="3BF92F02" w14:textId="77777777" w:rsidR="00664B4D" w:rsidRDefault="00664B4D" w:rsidP="00664B4D">
            <w:pPr>
              <w:jc w:val="right"/>
              <w:rPr>
                <w:bCs/>
                <w:color w:val="000000"/>
              </w:rPr>
            </w:pPr>
          </w:p>
        </w:tc>
      </w:tr>
      <w:tr w:rsidR="00664B4D" w14:paraId="474650F6" w14:textId="77777777" w:rsidTr="00023229">
        <w:tc>
          <w:tcPr>
            <w:tcW w:w="2978" w:type="dxa"/>
          </w:tcPr>
          <w:p w14:paraId="02423D37" w14:textId="77777777" w:rsidR="00664B4D" w:rsidRPr="00664B4D" w:rsidRDefault="00664B4D" w:rsidP="00664B4D">
            <w:pPr>
              <w:jc w:val="both"/>
              <w:rPr>
                <w:color w:val="000000" w:themeColor="text1"/>
              </w:rPr>
            </w:pPr>
            <w:r>
              <w:rPr>
                <w:color w:val="000000" w:themeColor="text1"/>
              </w:rPr>
              <w:t>CFW</w:t>
            </w:r>
          </w:p>
        </w:tc>
        <w:tc>
          <w:tcPr>
            <w:tcW w:w="1843" w:type="dxa"/>
            <w:tcBorders>
              <w:top w:val="nil"/>
              <w:left w:val="nil"/>
              <w:bottom w:val="single" w:sz="4" w:space="0" w:color="000000"/>
              <w:right w:val="single" w:sz="4" w:space="0" w:color="000000"/>
            </w:tcBorders>
            <w:shd w:val="clear" w:color="auto" w:fill="FFFFFF" w:themeFill="background1"/>
          </w:tcPr>
          <w:p w14:paraId="42330939" w14:textId="77777777" w:rsidR="00664B4D" w:rsidRDefault="00664B4D" w:rsidP="00664B4D">
            <w:pPr>
              <w:jc w:val="right"/>
              <w:rPr>
                <w:b/>
                <w:bCs/>
              </w:rPr>
            </w:pPr>
          </w:p>
        </w:tc>
        <w:tc>
          <w:tcPr>
            <w:tcW w:w="1842" w:type="dxa"/>
            <w:tcBorders>
              <w:top w:val="nil"/>
              <w:left w:val="nil"/>
              <w:bottom w:val="single" w:sz="4" w:space="0" w:color="000000"/>
              <w:right w:val="single" w:sz="4" w:space="0" w:color="000000"/>
            </w:tcBorders>
            <w:shd w:val="clear" w:color="auto" w:fill="FFFFFF" w:themeFill="background1"/>
          </w:tcPr>
          <w:p w14:paraId="3AF5A9EC" w14:textId="77777777" w:rsidR="00664B4D" w:rsidRDefault="00664B4D" w:rsidP="00664B4D">
            <w:pPr>
              <w:jc w:val="right"/>
              <w:rPr>
                <w:b/>
                <w:bCs/>
              </w:rPr>
            </w:pPr>
          </w:p>
        </w:tc>
        <w:tc>
          <w:tcPr>
            <w:tcW w:w="1843" w:type="dxa"/>
            <w:tcBorders>
              <w:top w:val="nil"/>
              <w:left w:val="nil"/>
              <w:bottom w:val="single" w:sz="4" w:space="0" w:color="000000"/>
              <w:right w:val="single" w:sz="4" w:space="0" w:color="000000"/>
            </w:tcBorders>
            <w:shd w:val="clear" w:color="auto" w:fill="FFFFFF" w:themeFill="background1"/>
          </w:tcPr>
          <w:p w14:paraId="7D84A7E2" w14:textId="77777777" w:rsidR="00664B4D" w:rsidRDefault="00664B4D" w:rsidP="00664B4D">
            <w:pPr>
              <w:jc w:val="right"/>
              <w:rPr>
                <w:b/>
                <w:bCs/>
              </w:rPr>
            </w:pPr>
          </w:p>
        </w:tc>
        <w:tc>
          <w:tcPr>
            <w:tcW w:w="992" w:type="dxa"/>
          </w:tcPr>
          <w:p w14:paraId="6529918B" w14:textId="77777777" w:rsidR="00664B4D" w:rsidRDefault="00664B4D" w:rsidP="00664B4D">
            <w:pPr>
              <w:jc w:val="right"/>
              <w:rPr>
                <w:bCs/>
                <w:color w:val="000000"/>
              </w:rPr>
            </w:pPr>
          </w:p>
        </w:tc>
        <w:tc>
          <w:tcPr>
            <w:tcW w:w="993" w:type="dxa"/>
          </w:tcPr>
          <w:p w14:paraId="06C178DC" w14:textId="77777777" w:rsidR="00664B4D" w:rsidRDefault="00664B4D" w:rsidP="00664B4D">
            <w:pPr>
              <w:jc w:val="right"/>
              <w:rPr>
                <w:bCs/>
                <w:color w:val="000000"/>
              </w:rPr>
            </w:pPr>
          </w:p>
        </w:tc>
      </w:tr>
      <w:tr w:rsidR="00664B4D" w14:paraId="09DA0078" w14:textId="77777777" w:rsidTr="00023229">
        <w:tc>
          <w:tcPr>
            <w:tcW w:w="2978" w:type="dxa"/>
          </w:tcPr>
          <w:p w14:paraId="6F9CBA51" w14:textId="77777777" w:rsidR="00664B4D" w:rsidRPr="00664B4D" w:rsidRDefault="00664B4D" w:rsidP="00664B4D">
            <w:pPr>
              <w:spacing w:line="240" w:lineRule="auto"/>
              <w:jc w:val="right"/>
              <w:rPr>
                <w:rFonts w:eastAsia="Times New Roman"/>
                <w:bCs/>
                <w:lang w:val="en-PH" w:eastAsia="en-PH"/>
              </w:rPr>
            </w:pPr>
            <w:r w:rsidRPr="00664B4D">
              <w:rPr>
                <w:bCs/>
              </w:rPr>
              <w:t>Totally</w:t>
            </w:r>
          </w:p>
        </w:tc>
        <w:tc>
          <w:tcPr>
            <w:tcW w:w="1843" w:type="dxa"/>
            <w:tcBorders>
              <w:top w:val="nil"/>
              <w:left w:val="nil"/>
              <w:bottom w:val="single" w:sz="4" w:space="0" w:color="000000"/>
              <w:right w:val="single" w:sz="4" w:space="0" w:color="000000"/>
            </w:tcBorders>
            <w:shd w:val="clear" w:color="auto" w:fill="FFFFFF" w:themeFill="background1"/>
          </w:tcPr>
          <w:p w14:paraId="6AA4A42B" w14:textId="77777777" w:rsidR="00664B4D" w:rsidRDefault="00664B4D" w:rsidP="00664B4D">
            <w:pPr>
              <w:jc w:val="right"/>
            </w:pPr>
            <w:r>
              <w:t>5,130,000.00</w:t>
            </w:r>
          </w:p>
        </w:tc>
        <w:tc>
          <w:tcPr>
            <w:tcW w:w="1842" w:type="dxa"/>
            <w:tcBorders>
              <w:top w:val="nil"/>
              <w:left w:val="nil"/>
              <w:bottom w:val="single" w:sz="4" w:space="0" w:color="000000"/>
              <w:right w:val="single" w:sz="4" w:space="0" w:color="000000"/>
            </w:tcBorders>
            <w:shd w:val="clear" w:color="auto" w:fill="FFFFFF" w:themeFill="background1"/>
          </w:tcPr>
          <w:p w14:paraId="493AF171" w14:textId="77777777" w:rsidR="00664B4D" w:rsidRDefault="00664B4D" w:rsidP="00664B4D">
            <w:pPr>
              <w:jc w:val="right"/>
            </w:pPr>
            <w:r>
              <w:t>5,130,000.00</w:t>
            </w:r>
          </w:p>
        </w:tc>
        <w:tc>
          <w:tcPr>
            <w:tcW w:w="1843" w:type="dxa"/>
            <w:tcBorders>
              <w:top w:val="nil"/>
              <w:left w:val="nil"/>
              <w:bottom w:val="single" w:sz="4" w:space="0" w:color="000000"/>
              <w:right w:val="single" w:sz="4" w:space="0" w:color="000000"/>
            </w:tcBorders>
            <w:shd w:val="clear" w:color="auto" w:fill="FFFFFF" w:themeFill="background1"/>
          </w:tcPr>
          <w:p w14:paraId="754D647F" w14:textId="77777777" w:rsidR="00664B4D" w:rsidRPr="00664B4D" w:rsidRDefault="00664B4D" w:rsidP="00664B4D">
            <w:pPr>
              <w:spacing w:line="240" w:lineRule="auto"/>
              <w:jc w:val="right"/>
              <w:rPr>
                <w:rFonts w:eastAsia="Times New Roman"/>
                <w:bCs/>
                <w:lang w:val="en-PH" w:eastAsia="en-PH"/>
              </w:rPr>
            </w:pPr>
            <w:r w:rsidRPr="00664B4D">
              <w:rPr>
                <w:bCs/>
              </w:rPr>
              <w:t>4,980,000.00</w:t>
            </w:r>
          </w:p>
        </w:tc>
        <w:tc>
          <w:tcPr>
            <w:tcW w:w="992" w:type="dxa"/>
          </w:tcPr>
          <w:p w14:paraId="35156448" w14:textId="77777777" w:rsidR="00664B4D" w:rsidRPr="004D4FE4" w:rsidRDefault="00664B4D" w:rsidP="00664B4D">
            <w:pPr>
              <w:jc w:val="right"/>
              <w:rPr>
                <w:bCs/>
                <w:color w:val="000000"/>
              </w:rPr>
            </w:pPr>
            <w:r>
              <w:rPr>
                <w:bCs/>
                <w:color w:val="000000"/>
              </w:rPr>
              <w:t>100%</w:t>
            </w:r>
          </w:p>
        </w:tc>
        <w:tc>
          <w:tcPr>
            <w:tcW w:w="993" w:type="dxa"/>
          </w:tcPr>
          <w:p w14:paraId="10B4F9A6" w14:textId="77777777" w:rsidR="00664B4D" w:rsidRPr="004D4FE4" w:rsidRDefault="00664B4D" w:rsidP="00664B4D">
            <w:pPr>
              <w:jc w:val="right"/>
              <w:rPr>
                <w:bCs/>
                <w:color w:val="000000"/>
              </w:rPr>
            </w:pPr>
            <w:r>
              <w:rPr>
                <w:bCs/>
                <w:color w:val="000000"/>
              </w:rPr>
              <w:t>97.08%</w:t>
            </w:r>
          </w:p>
        </w:tc>
      </w:tr>
      <w:tr w:rsidR="00664B4D" w14:paraId="51BCA37F" w14:textId="77777777" w:rsidTr="00023229">
        <w:tc>
          <w:tcPr>
            <w:tcW w:w="2978" w:type="dxa"/>
          </w:tcPr>
          <w:p w14:paraId="0B50A0B0" w14:textId="77777777" w:rsidR="00664B4D" w:rsidRPr="00664B4D" w:rsidRDefault="00664B4D" w:rsidP="00664B4D">
            <w:pPr>
              <w:jc w:val="right"/>
              <w:rPr>
                <w:bCs/>
              </w:rPr>
            </w:pPr>
            <w:r w:rsidRPr="00664B4D">
              <w:rPr>
                <w:bCs/>
              </w:rPr>
              <w:t>Partially</w:t>
            </w:r>
          </w:p>
        </w:tc>
        <w:tc>
          <w:tcPr>
            <w:tcW w:w="1843" w:type="dxa"/>
            <w:tcBorders>
              <w:top w:val="nil"/>
              <w:left w:val="nil"/>
              <w:bottom w:val="single" w:sz="4" w:space="0" w:color="000000"/>
              <w:right w:val="single" w:sz="4" w:space="0" w:color="000000"/>
            </w:tcBorders>
            <w:shd w:val="clear" w:color="auto" w:fill="FFFFFF" w:themeFill="background1"/>
          </w:tcPr>
          <w:p w14:paraId="2F31300B" w14:textId="77777777" w:rsidR="00664B4D" w:rsidRDefault="00664B4D" w:rsidP="00664B4D">
            <w:pPr>
              <w:jc w:val="right"/>
            </w:pPr>
            <w:r>
              <w:t>12,470,000.00</w:t>
            </w:r>
          </w:p>
        </w:tc>
        <w:tc>
          <w:tcPr>
            <w:tcW w:w="1842" w:type="dxa"/>
            <w:tcBorders>
              <w:top w:val="nil"/>
              <w:left w:val="nil"/>
              <w:bottom w:val="single" w:sz="4" w:space="0" w:color="000000"/>
              <w:right w:val="single" w:sz="4" w:space="0" w:color="000000"/>
            </w:tcBorders>
            <w:shd w:val="clear" w:color="auto" w:fill="FFFFFF" w:themeFill="background1"/>
          </w:tcPr>
          <w:p w14:paraId="0D0CE101" w14:textId="77777777" w:rsidR="00664B4D" w:rsidRDefault="00664B4D" w:rsidP="00664B4D">
            <w:pPr>
              <w:jc w:val="right"/>
            </w:pPr>
            <w:r>
              <w:t>12,470,000.00</w:t>
            </w:r>
          </w:p>
        </w:tc>
        <w:tc>
          <w:tcPr>
            <w:tcW w:w="1843" w:type="dxa"/>
            <w:tcBorders>
              <w:top w:val="nil"/>
              <w:left w:val="nil"/>
              <w:bottom w:val="single" w:sz="4" w:space="0" w:color="000000"/>
              <w:right w:val="single" w:sz="4" w:space="0" w:color="000000"/>
            </w:tcBorders>
            <w:shd w:val="clear" w:color="auto" w:fill="FFFFFF" w:themeFill="background1"/>
          </w:tcPr>
          <w:p w14:paraId="42209005" w14:textId="77777777" w:rsidR="00664B4D" w:rsidRPr="00664B4D" w:rsidRDefault="00664B4D" w:rsidP="00664B4D">
            <w:pPr>
              <w:jc w:val="right"/>
              <w:rPr>
                <w:bCs/>
              </w:rPr>
            </w:pPr>
            <w:r w:rsidRPr="00664B4D">
              <w:rPr>
                <w:bCs/>
              </w:rPr>
              <w:t>11,840,000.00</w:t>
            </w:r>
          </w:p>
        </w:tc>
        <w:tc>
          <w:tcPr>
            <w:tcW w:w="992" w:type="dxa"/>
          </w:tcPr>
          <w:p w14:paraId="7641F38B" w14:textId="77777777" w:rsidR="00664B4D" w:rsidRPr="004D4FE4" w:rsidRDefault="00664B4D" w:rsidP="00664B4D">
            <w:pPr>
              <w:jc w:val="right"/>
              <w:rPr>
                <w:bCs/>
                <w:color w:val="000000"/>
              </w:rPr>
            </w:pPr>
            <w:r>
              <w:rPr>
                <w:bCs/>
                <w:color w:val="000000"/>
              </w:rPr>
              <w:t>100%</w:t>
            </w:r>
          </w:p>
        </w:tc>
        <w:tc>
          <w:tcPr>
            <w:tcW w:w="993" w:type="dxa"/>
          </w:tcPr>
          <w:p w14:paraId="5B2912A1" w14:textId="77777777" w:rsidR="00664B4D" w:rsidRPr="004D4FE4" w:rsidRDefault="00664B4D" w:rsidP="00664B4D">
            <w:pPr>
              <w:jc w:val="right"/>
              <w:rPr>
                <w:bCs/>
                <w:color w:val="000000"/>
              </w:rPr>
            </w:pPr>
            <w:r>
              <w:rPr>
                <w:bCs/>
                <w:color w:val="000000"/>
              </w:rPr>
              <w:t>94.95%</w:t>
            </w:r>
          </w:p>
        </w:tc>
      </w:tr>
      <w:tr w:rsidR="00664B4D" w14:paraId="52B5F44E" w14:textId="77777777" w:rsidTr="00023229">
        <w:tc>
          <w:tcPr>
            <w:tcW w:w="2978" w:type="dxa"/>
          </w:tcPr>
          <w:p w14:paraId="4CD92663" w14:textId="77777777" w:rsidR="00664B4D" w:rsidRPr="00664B4D" w:rsidRDefault="00664B4D" w:rsidP="00664B4D">
            <w:pPr>
              <w:spacing w:line="240" w:lineRule="auto"/>
              <w:rPr>
                <w:rFonts w:eastAsia="Times New Roman"/>
                <w:bCs/>
                <w:lang w:val="en-PH" w:eastAsia="en-PH"/>
              </w:rPr>
            </w:pPr>
            <w:r w:rsidRPr="00664B4D">
              <w:rPr>
                <w:bCs/>
              </w:rPr>
              <w:t>ESA</w:t>
            </w:r>
          </w:p>
        </w:tc>
        <w:tc>
          <w:tcPr>
            <w:tcW w:w="1843" w:type="dxa"/>
            <w:tcBorders>
              <w:top w:val="nil"/>
              <w:left w:val="nil"/>
              <w:bottom w:val="single" w:sz="4" w:space="0" w:color="000000"/>
              <w:right w:val="single" w:sz="4" w:space="0" w:color="000000"/>
            </w:tcBorders>
            <w:shd w:val="clear" w:color="auto" w:fill="FFFFFF" w:themeFill="background1"/>
          </w:tcPr>
          <w:p w14:paraId="41A28958" w14:textId="77777777" w:rsidR="00664B4D" w:rsidRDefault="00664B4D" w:rsidP="00664B4D">
            <w:pPr>
              <w:jc w:val="right"/>
            </w:pPr>
          </w:p>
        </w:tc>
        <w:tc>
          <w:tcPr>
            <w:tcW w:w="1842" w:type="dxa"/>
            <w:tcBorders>
              <w:top w:val="nil"/>
              <w:left w:val="nil"/>
              <w:bottom w:val="single" w:sz="4" w:space="0" w:color="000000"/>
              <w:right w:val="single" w:sz="4" w:space="0" w:color="000000"/>
            </w:tcBorders>
            <w:shd w:val="clear" w:color="auto" w:fill="FFFFFF" w:themeFill="background1"/>
          </w:tcPr>
          <w:p w14:paraId="137BC598" w14:textId="77777777" w:rsidR="00664B4D" w:rsidRDefault="00664B4D" w:rsidP="00664B4D">
            <w:pPr>
              <w:jc w:val="right"/>
            </w:pPr>
          </w:p>
        </w:tc>
        <w:tc>
          <w:tcPr>
            <w:tcW w:w="1843" w:type="dxa"/>
            <w:tcBorders>
              <w:top w:val="nil"/>
              <w:left w:val="nil"/>
              <w:bottom w:val="single" w:sz="4" w:space="0" w:color="000000"/>
              <w:right w:val="single" w:sz="4" w:space="0" w:color="000000"/>
            </w:tcBorders>
            <w:shd w:val="clear" w:color="auto" w:fill="FFFFFF" w:themeFill="background1"/>
          </w:tcPr>
          <w:p w14:paraId="0E581CC8" w14:textId="77777777" w:rsidR="00664B4D" w:rsidRDefault="00664B4D" w:rsidP="00664B4D">
            <w:pPr>
              <w:jc w:val="right"/>
            </w:pPr>
          </w:p>
        </w:tc>
        <w:tc>
          <w:tcPr>
            <w:tcW w:w="992" w:type="dxa"/>
          </w:tcPr>
          <w:p w14:paraId="6554DFD9" w14:textId="77777777" w:rsidR="00664B4D" w:rsidRDefault="00664B4D" w:rsidP="00664B4D">
            <w:pPr>
              <w:jc w:val="right"/>
              <w:rPr>
                <w:bCs/>
                <w:color w:val="000000"/>
              </w:rPr>
            </w:pPr>
          </w:p>
        </w:tc>
        <w:tc>
          <w:tcPr>
            <w:tcW w:w="993" w:type="dxa"/>
          </w:tcPr>
          <w:p w14:paraId="041C74B5" w14:textId="77777777" w:rsidR="00664B4D" w:rsidRDefault="00664B4D" w:rsidP="00664B4D">
            <w:pPr>
              <w:jc w:val="right"/>
              <w:rPr>
                <w:bCs/>
                <w:color w:val="000000"/>
              </w:rPr>
            </w:pPr>
          </w:p>
        </w:tc>
      </w:tr>
      <w:tr w:rsidR="00664B4D" w14:paraId="6E91A272" w14:textId="77777777" w:rsidTr="00023229">
        <w:tc>
          <w:tcPr>
            <w:tcW w:w="2978" w:type="dxa"/>
          </w:tcPr>
          <w:p w14:paraId="296A4927" w14:textId="77777777" w:rsidR="00664B4D" w:rsidRPr="00664B4D" w:rsidRDefault="00664B4D" w:rsidP="00664B4D">
            <w:pPr>
              <w:jc w:val="right"/>
              <w:rPr>
                <w:bCs/>
              </w:rPr>
            </w:pPr>
            <w:r w:rsidRPr="00664B4D">
              <w:rPr>
                <w:bCs/>
              </w:rPr>
              <w:t>Totally</w:t>
            </w:r>
          </w:p>
        </w:tc>
        <w:tc>
          <w:tcPr>
            <w:tcW w:w="1843" w:type="dxa"/>
            <w:tcBorders>
              <w:top w:val="nil"/>
              <w:left w:val="nil"/>
              <w:bottom w:val="single" w:sz="4" w:space="0" w:color="000000"/>
              <w:right w:val="single" w:sz="4" w:space="0" w:color="000000"/>
            </w:tcBorders>
            <w:shd w:val="clear" w:color="auto" w:fill="FFFFFF" w:themeFill="background1"/>
          </w:tcPr>
          <w:p w14:paraId="6D851776" w14:textId="77777777" w:rsidR="00664B4D" w:rsidRDefault="00664B4D" w:rsidP="00664B4D">
            <w:pPr>
              <w:spacing w:line="240" w:lineRule="auto"/>
              <w:jc w:val="right"/>
              <w:rPr>
                <w:rFonts w:eastAsia="Times New Roman"/>
                <w:lang w:val="en-PH" w:eastAsia="en-PH"/>
              </w:rPr>
            </w:pPr>
            <w:r>
              <w:t>987,900.00</w:t>
            </w:r>
          </w:p>
        </w:tc>
        <w:tc>
          <w:tcPr>
            <w:tcW w:w="1842" w:type="dxa"/>
            <w:tcBorders>
              <w:top w:val="nil"/>
              <w:left w:val="nil"/>
              <w:bottom w:val="single" w:sz="4" w:space="0" w:color="000000"/>
              <w:right w:val="single" w:sz="4" w:space="0" w:color="000000"/>
            </w:tcBorders>
            <w:shd w:val="clear" w:color="auto" w:fill="FFFFFF" w:themeFill="background1"/>
          </w:tcPr>
          <w:p w14:paraId="25E1EFD9" w14:textId="77777777" w:rsidR="00664B4D" w:rsidRDefault="00664B4D" w:rsidP="00664B4D">
            <w:pPr>
              <w:spacing w:line="240" w:lineRule="auto"/>
              <w:jc w:val="right"/>
              <w:rPr>
                <w:rFonts w:eastAsia="Times New Roman"/>
                <w:lang w:val="en-PH" w:eastAsia="en-PH"/>
              </w:rPr>
            </w:pPr>
            <w:r>
              <w:t>987,900.00</w:t>
            </w:r>
          </w:p>
        </w:tc>
        <w:tc>
          <w:tcPr>
            <w:tcW w:w="1843" w:type="dxa"/>
            <w:tcBorders>
              <w:top w:val="nil"/>
              <w:left w:val="nil"/>
              <w:bottom w:val="single" w:sz="4" w:space="0" w:color="000000"/>
              <w:right w:val="single" w:sz="4" w:space="0" w:color="000000"/>
            </w:tcBorders>
            <w:shd w:val="clear" w:color="auto" w:fill="FFFFFF" w:themeFill="background1"/>
          </w:tcPr>
          <w:p w14:paraId="67BB138C" w14:textId="77777777" w:rsidR="00664B4D" w:rsidRPr="00664B4D" w:rsidRDefault="00664B4D" w:rsidP="00664B4D">
            <w:pPr>
              <w:spacing w:line="240" w:lineRule="auto"/>
              <w:jc w:val="right"/>
              <w:rPr>
                <w:rFonts w:eastAsia="Times New Roman"/>
                <w:bCs/>
                <w:lang w:val="en-PH" w:eastAsia="en-PH"/>
              </w:rPr>
            </w:pPr>
            <w:r w:rsidRPr="00664B4D">
              <w:rPr>
                <w:bCs/>
              </w:rPr>
              <w:t>962,000.00</w:t>
            </w:r>
          </w:p>
        </w:tc>
        <w:tc>
          <w:tcPr>
            <w:tcW w:w="992" w:type="dxa"/>
          </w:tcPr>
          <w:p w14:paraId="0EE9D926" w14:textId="77777777" w:rsidR="00664B4D" w:rsidRPr="004D4FE4" w:rsidRDefault="00664B4D" w:rsidP="00664B4D">
            <w:pPr>
              <w:jc w:val="right"/>
              <w:rPr>
                <w:bCs/>
                <w:color w:val="000000"/>
              </w:rPr>
            </w:pPr>
            <w:r>
              <w:rPr>
                <w:bCs/>
                <w:color w:val="000000"/>
              </w:rPr>
              <w:t>100%</w:t>
            </w:r>
          </w:p>
        </w:tc>
        <w:tc>
          <w:tcPr>
            <w:tcW w:w="993" w:type="dxa"/>
          </w:tcPr>
          <w:p w14:paraId="3C3C40E0" w14:textId="77777777" w:rsidR="00664B4D" w:rsidRPr="00664B4D" w:rsidRDefault="00664B4D" w:rsidP="00664B4D">
            <w:pPr>
              <w:spacing w:line="240" w:lineRule="auto"/>
              <w:jc w:val="right"/>
              <w:rPr>
                <w:rFonts w:eastAsia="Times New Roman"/>
                <w:bCs/>
                <w:lang w:val="en-PH" w:eastAsia="en-PH"/>
              </w:rPr>
            </w:pPr>
            <w:r w:rsidRPr="00664B4D">
              <w:rPr>
                <w:bCs/>
              </w:rPr>
              <w:t>97.38%</w:t>
            </w:r>
          </w:p>
        </w:tc>
      </w:tr>
      <w:tr w:rsidR="00664B4D" w14:paraId="32BBD6DD" w14:textId="77777777" w:rsidTr="00023229">
        <w:tc>
          <w:tcPr>
            <w:tcW w:w="2978" w:type="dxa"/>
          </w:tcPr>
          <w:p w14:paraId="6411DDC8" w14:textId="77777777" w:rsidR="00664B4D" w:rsidRPr="00664B4D" w:rsidRDefault="00664B4D" w:rsidP="00664B4D">
            <w:pPr>
              <w:jc w:val="right"/>
              <w:rPr>
                <w:bCs/>
              </w:rPr>
            </w:pPr>
            <w:r w:rsidRPr="00664B4D">
              <w:rPr>
                <w:bCs/>
              </w:rPr>
              <w:t>Partially</w:t>
            </w:r>
          </w:p>
        </w:tc>
        <w:tc>
          <w:tcPr>
            <w:tcW w:w="1843" w:type="dxa"/>
            <w:tcBorders>
              <w:top w:val="nil"/>
              <w:left w:val="nil"/>
              <w:bottom w:val="single" w:sz="4" w:space="0" w:color="000000"/>
              <w:right w:val="single" w:sz="4" w:space="0" w:color="000000"/>
            </w:tcBorders>
            <w:shd w:val="clear" w:color="auto" w:fill="FFFFFF" w:themeFill="background1"/>
          </w:tcPr>
          <w:p w14:paraId="1C7630ED" w14:textId="77777777" w:rsidR="00664B4D" w:rsidRDefault="00664B4D" w:rsidP="00664B4D">
            <w:pPr>
              <w:jc w:val="right"/>
            </w:pPr>
            <w:r>
              <w:t>3,836,900.00</w:t>
            </w:r>
          </w:p>
        </w:tc>
        <w:tc>
          <w:tcPr>
            <w:tcW w:w="1842" w:type="dxa"/>
            <w:tcBorders>
              <w:top w:val="nil"/>
              <w:left w:val="nil"/>
              <w:bottom w:val="single" w:sz="4" w:space="0" w:color="000000"/>
              <w:right w:val="single" w:sz="4" w:space="0" w:color="000000"/>
            </w:tcBorders>
            <w:shd w:val="clear" w:color="auto" w:fill="FFFFFF" w:themeFill="background1"/>
          </w:tcPr>
          <w:p w14:paraId="7D3FC3D1" w14:textId="77777777" w:rsidR="00664B4D" w:rsidRDefault="00664B4D" w:rsidP="00664B4D">
            <w:pPr>
              <w:jc w:val="right"/>
            </w:pPr>
            <w:r>
              <w:t>3,836,900.00</w:t>
            </w:r>
          </w:p>
        </w:tc>
        <w:tc>
          <w:tcPr>
            <w:tcW w:w="1843" w:type="dxa"/>
            <w:tcBorders>
              <w:top w:val="nil"/>
              <w:left w:val="nil"/>
              <w:bottom w:val="single" w:sz="4" w:space="0" w:color="000000"/>
              <w:right w:val="single" w:sz="4" w:space="0" w:color="000000"/>
            </w:tcBorders>
            <w:shd w:val="clear" w:color="auto" w:fill="FFFFFF" w:themeFill="background1"/>
          </w:tcPr>
          <w:p w14:paraId="12483352" w14:textId="77777777" w:rsidR="00664B4D" w:rsidRPr="00664B4D" w:rsidRDefault="00664B4D" w:rsidP="00664B4D">
            <w:pPr>
              <w:jc w:val="right"/>
              <w:rPr>
                <w:bCs/>
              </w:rPr>
            </w:pPr>
            <w:r w:rsidRPr="00664B4D">
              <w:rPr>
                <w:bCs/>
              </w:rPr>
              <w:t>3,716,650.00</w:t>
            </w:r>
          </w:p>
        </w:tc>
        <w:tc>
          <w:tcPr>
            <w:tcW w:w="992" w:type="dxa"/>
          </w:tcPr>
          <w:p w14:paraId="76E59725" w14:textId="77777777" w:rsidR="00664B4D" w:rsidRPr="004D4FE4" w:rsidRDefault="00664B4D" w:rsidP="00664B4D">
            <w:pPr>
              <w:jc w:val="right"/>
              <w:rPr>
                <w:bCs/>
                <w:color w:val="000000"/>
              </w:rPr>
            </w:pPr>
            <w:r>
              <w:rPr>
                <w:bCs/>
                <w:color w:val="000000"/>
              </w:rPr>
              <w:t>100%</w:t>
            </w:r>
          </w:p>
        </w:tc>
        <w:tc>
          <w:tcPr>
            <w:tcW w:w="993" w:type="dxa"/>
          </w:tcPr>
          <w:p w14:paraId="60E455C8" w14:textId="77777777" w:rsidR="00664B4D" w:rsidRPr="00664B4D" w:rsidRDefault="00664B4D" w:rsidP="00664B4D">
            <w:pPr>
              <w:jc w:val="right"/>
              <w:rPr>
                <w:bCs/>
              </w:rPr>
            </w:pPr>
            <w:r w:rsidRPr="00664B4D">
              <w:rPr>
                <w:bCs/>
              </w:rPr>
              <w:t>96.87%</w:t>
            </w:r>
          </w:p>
        </w:tc>
      </w:tr>
      <w:tr w:rsidR="00341200" w14:paraId="63547CFD" w14:textId="77777777" w:rsidTr="00023229">
        <w:tc>
          <w:tcPr>
            <w:tcW w:w="2978" w:type="dxa"/>
          </w:tcPr>
          <w:p w14:paraId="6B2EA3C4" w14:textId="77777777" w:rsidR="00341200" w:rsidRPr="00664B4D" w:rsidRDefault="00664B4D" w:rsidP="00341200">
            <w:pPr>
              <w:jc w:val="both"/>
              <w:rPr>
                <w:color w:val="000000" w:themeColor="text1"/>
              </w:rPr>
            </w:pPr>
            <w:r>
              <w:rPr>
                <w:color w:val="000000" w:themeColor="text1"/>
              </w:rPr>
              <w:t xml:space="preserve">Regulatory </w:t>
            </w:r>
            <w:r w:rsidR="00341200" w:rsidRPr="00664B4D">
              <w:rPr>
                <w:color w:val="000000" w:themeColor="text1"/>
              </w:rPr>
              <w:t>Services</w:t>
            </w:r>
          </w:p>
        </w:tc>
        <w:tc>
          <w:tcPr>
            <w:tcW w:w="1843" w:type="dxa"/>
          </w:tcPr>
          <w:p w14:paraId="774D7AFB" w14:textId="77777777" w:rsidR="00341200" w:rsidRPr="00C825C9" w:rsidRDefault="00664B4D" w:rsidP="00341200">
            <w:pPr>
              <w:jc w:val="right"/>
              <w:rPr>
                <w:color w:val="000000" w:themeColor="text1"/>
              </w:rPr>
            </w:pPr>
            <w:r w:rsidRPr="00664B4D">
              <w:rPr>
                <w:color w:val="000000" w:themeColor="text1"/>
              </w:rPr>
              <w:t>881,230.00</w:t>
            </w:r>
          </w:p>
        </w:tc>
        <w:tc>
          <w:tcPr>
            <w:tcW w:w="1842" w:type="dxa"/>
          </w:tcPr>
          <w:p w14:paraId="7273D4DC" w14:textId="77777777" w:rsidR="00341200" w:rsidRPr="00C825C9" w:rsidRDefault="00664B4D" w:rsidP="00341200">
            <w:pPr>
              <w:jc w:val="right"/>
              <w:rPr>
                <w:color w:val="000000" w:themeColor="text1"/>
              </w:rPr>
            </w:pPr>
            <w:r w:rsidRPr="00664B4D">
              <w:rPr>
                <w:color w:val="000000" w:themeColor="text1"/>
              </w:rPr>
              <w:t>431,995.92</w:t>
            </w:r>
          </w:p>
        </w:tc>
        <w:tc>
          <w:tcPr>
            <w:tcW w:w="1843" w:type="dxa"/>
          </w:tcPr>
          <w:p w14:paraId="60B9E87E" w14:textId="77777777" w:rsidR="00341200" w:rsidRPr="00C825C9" w:rsidRDefault="00664B4D" w:rsidP="00341200">
            <w:pPr>
              <w:jc w:val="right"/>
              <w:rPr>
                <w:color w:val="000000" w:themeColor="text1"/>
              </w:rPr>
            </w:pPr>
            <w:r w:rsidRPr="00664B4D">
              <w:rPr>
                <w:color w:val="000000" w:themeColor="text1"/>
              </w:rPr>
              <w:t>431,995.92</w:t>
            </w:r>
          </w:p>
        </w:tc>
        <w:tc>
          <w:tcPr>
            <w:tcW w:w="992" w:type="dxa"/>
          </w:tcPr>
          <w:p w14:paraId="57190B41" w14:textId="77777777" w:rsidR="00341200" w:rsidRPr="00C825C9" w:rsidRDefault="00664B4D" w:rsidP="00664B4D">
            <w:pPr>
              <w:jc w:val="right"/>
              <w:rPr>
                <w:color w:val="000000" w:themeColor="text1"/>
              </w:rPr>
            </w:pPr>
            <w:r>
              <w:rPr>
                <w:color w:val="000000" w:themeColor="text1"/>
              </w:rPr>
              <w:t>49.02</w:t>
            </w:r>
          </w:p>
        </w:tc>
        <w:tc>
          <w:tcPr>
            <w:tcW w:w="993" w:type="dxa"/>
          </w:tcPr>
          <w:p w14:paraId="76D1A283" w14:textId="77777777" w:rsidR="00341200" w:rsidRPr="00C825C9" w:rsidRDefault="00664B4D" w:rsidP="00664B4D">
            <w:pPr>
              <w:jc w:val="right"/>
              <w:rPr>
                <w:color w:val="000000" w:themeColor="text1"/>
              </w:rPr>
            </w:pPr>
            <w:r>
              <w:rPr>
                <w:color w:val="000000" w:themeColor="text1"/>
              </w:rPr>
              <w:t>49.02</w:t>
            </w:r>
            <w:r w:rsidR="00AE032A">
              <w:rPr>
                <w:color w:val="000000" w:themeColor="text1"/>
              </w:rPr>
              <w:t>%</w:t>
            </w:r>
          </w:p>
        </w:tc>
      </w:tr>
      <w:tr w:rsidR="00341200" w14:paraId="26A188FC" w14:textId="77777777" w:rsidTr="00023229">
        <w:tc>
          <w:tcPr>
            <w:tcW w:w="2978" w:type="dxa"/>
          </w:tcPr>
          <w:p w14:paraId="3B4BEA6D" w14:textId="77777777" w:rsidR="00341200" w:rsidRPr="00664B4D" w:rsidRDefault="00341200" w:rsidP="00341200">
            <w:pPr>
              <w:jc w:val="both"/>
              <w:rPr>
                <w:color w:val="000000" w:themeColor="text1"/>
              </w:rPr>
            </w:pPr>
            <w:r w:rsidRPr="00664B4D">
              <w:rPr>
                <w:color w:val="000000" w:themeColor="text1"/>
              </w:rPr>
              <w:t>Technical Assistance and Resource Augmentation Program</w:t>
            </w:r>
          </w:p>
        </w:tc>
        <w:tc>
          <w:tcPr>
            <w:tcW w:w="1843" w:type="dxa"/>
          </w:tcPr>
          <w:p w14:paraId="6A6D1C61" w14:textId="77777777" w:rsidR="00341200" w:rsidRPr="00C825C9" w:rsidRDefault="00341200" w:rsidP="00341200">
            <w:pPr>
              <w:jc w:val="right"/>
              <w:rPr>
                <w:color w:val="000000" w:themeColor="text1"/>
              </w:rPr>
            </w:pPr>
          </w:p>
        </w:tc>
        <w:tc>
          <w:tcPr>
            <w:tcW w:w="1842" w:type="dxa"/>
          </w:tcPr>
          <w:p w14:paraId="76E6ABB2" w14:textId="77777777" w:rsidR="00341200" w:rsidRPr="00C825C9" w:rsidRDefault="00341200" w:rsidP="00341200">
            <w:pPr>
              <w:jc w:val="right"/>
              <w:rPr>
                <w:color w:val="000000" w:themeColor="text1"/>
              </w:rPr>
            </w:pPr>
          </w:p>
        </w:tc>
        <w:tc>
          <w:tcPr>
            <w:tcW w:w="1843" w:type="dxa"/>
          </w:tcPr>
          <w:p w14:paraId="0A55D28A" w14:textId="77777777" w:rsidR="00341200" w:rsidRPr="00C825C9" w:rsidRDefault="00341200" w:rsidP="00341200">
            <w:pPr>
              <w:jc w:val="right"/>
              <w:rPr>
                <w:color w:val="000000" w:themeColor="text1"/>
              </w:rPr>
            </w:pPr>
          </w:p>
        </w:tc>
        <w:tc>
          <w:tcPr>
            <w:tcW w:w="992" w:type="dxa"/>
          </w:tcPr>
          <w:p w14:paraId="197AA9D0" w14:textId="77777777" w:rsidR="00341200" w:rsidRPr="00DA7BBA" w:rsidRDefault="00341200" w:rsidP="00341200">
            <w:pPr>
              <w:jc w:val="both"/>
              <w:rPr>
                <w:color w:val="000000" w:themeColor="text1"/>
              </w:rPr>
            </w:pPr>
          </w:p>
        </w:tc>
        <w:tc>
          <w:tcPr>
            <w:tcW w:w="993" w:type="dxa"/>
          </w:tcPr>
          <w:p w14:paraId="11D15473" w14:textId="77777777" w:rsidR="00341200" w:rsidRPr="00DA7BBA" w:rsidRDefault="00341200" w:rsidP="00341200">
            <w:pPr>
              <w:jc w:val="both"/>
              <w:rPr>
                <w:color w:val="000000" w:themeColor="text1"/>
              </w:rPr>
            </w:pPr>
          </w:p>
        </w:tc>
      </w:tr>
      <w:tr w:rsidR="00AE032A" w14:paraId="6B297B9B" w14:textId="77777777" w:rsidTr="00023229">
        <w:tc>
          <w:tcPr>
            <w:tcW w:w="2978" w:type="dxa"/>
          </w:tcPr>
          <w:p w14:paraId="1E10F0C8" w14:textId="77777777" w:rsidR="00AE032A" w:rsidRPr="00664B4D" w:rsidRDefault="00AE032A" w:rsidP="00341200">
            <w:pPr>
              <w:jc w:val="both"/>
              <w:rPr>
                <w:color w:val="000000" w:themeColor="text1"/>
              </w:rPr>
            </w:pPr>
            <w:r>
              <w:rPr>
                <w:color w:val="000000" w:themeColor="text1"/>
              </w:rPr>
              <w:t>TARA (Continuing)</w:t>
            </w:r>
          </w:p>
        </w:tc>
        <w:tc>
          <w:tcPr>
            <w:tcW w:w="1843" w:type="dxa"/>
          </w:tcPr>
          <w:p w14:paraId="0AF1FC34" w14:textId="77777777" w:rsidR="00AE032A" w:rsidRPr="00AE032A" w:rsidRDefault="00AE032A" w:rsidP="00341200">
            <w:pPr>
              <w:jc w:val="right"/>
              <w:rPr>
                <w:color w:val="000000" w:themeColor="text1"/>
              </w:rPr>
            </w:pPr>
            <w:r w:rsidRPr="00AE032A">
              <w:rPr>
                <w:bCs/>
                <w:color w:val="000000"/>
              </w:rPr>
              <w:t>1,422,091.24</w:t>
            </w:r>
          </w:p>
        </w:tc>
        <w:tc>
          <w:tcPr>
            <w:tcW w:w="1842" w:type="dxa"/>
          </w:tcPr>
          <w:p w14:paraId="00651EAD" w14:textId="77777777" w:rsidR="00AE032A" w:rsidRPr="00AE032A" w:rsidRDefault="00AE032A" w:rsidP="00341200">
            <w:pPr>
              <w:jc w:val="right"/>
              <w:rPr>
                <w:color w:val="000000" w:themeColor="text1"/>
              </w:rPr>
            </w:pPr>
            <w:r w:rsidRPr="00AE032A">
              <w:rPr>
                <w:bCs/>
                <w:color w:val="000000"/>
              </w:rPr>
              <w:t>1,303,191.24</w:t>
            </w:r>
          </w:p>
        </w:tc>
        <w:tc>
          <w:tcPr>
            <w:tcW w:w="1843" w:type="dxa"/>
          </w:tcPr>
          <w:p w14:paraId="425686C6" w14:textId="77777777" w:rsidR="00AE032A" w:rsidRPr="00AE032A" w:rsidRDefault="00AE032A" w:rsidP="00341200">
            <w:pPr>
              <w:jc w:val="right"/>
              <w:rPr>
                <w:color w:val="000000" w:themeColor="text1"/>
              </w:rPr>
            </w:pPr>
            <w:r w:rsidRPr="00AE032A">
              <w:rPr>
                <w:bCs/>
                <w:color w:val="000000"/>
              </w:rPr>
              <w:t>999,829.17</w:t>
            </w:r>
          </w:p>
        </w:tc>
        <w:tc>
          <w:tcPr>
            <w:tcW w:w="992" w:type="dxa"/>
          </w:tcPr>
          <w:p w14:paraId="0C7D2F0E" w14:textId="77777777" w:rsidR="00AE032A" w:rsidRPr="00AE032A" w:rsidRDefault="00AE032A" w:rsidP="00341200">
            <w:pPr>
              <w:jc w:val="both"/>
              <w:rPr>
                <w:color w:val="000000" w:themeColor="text1"/>
              </w:rPr>
            </w:pPr>
            <w:r w:rsidRPr="00AE032A">
              <w:rPr>
                <w:color w:val="000000"/>
              </w:rPr>
              <w:t>91.63%</w:t>
            </w:r>
          </w:p>
        </w:tc>
        <w:tc>
          <w:tcPr>
            <w:tcW w:w="993" w:type="dxa"/>
          </w:tcPr>
          <w:p w14:paraId="3982D4C6" w14:textId="77777777" w:rsidR="00AE032A" w:rsidRPr="00AE032A" w:rsidRDefault="00AE032A" w:rsidP="00341200">
            <w:pPr>
              <w:jc w:val="both"/>
              <w:rPr>
                <w:color w:val="000000" w:themeColor="text1"/>
              </w:rPr>
            </w:pPr>
            <w:r w:rsidRPr="00AE032A">
              <w:rPr>
                <w:bCs/>
                <w:color w:val="000000"/>
              </w:rPr>
              <w:t>87.43%</w:t>
            </w:r>
          </w:p>
        </w:tc>
      </w:tr>
      <w:tr w:rsidR="00AE032A" w14:paraId="43359DBF" w14:textId="77777777" w:rsidTr="00023229">
        <w:tc>
          <w:tcPr>
            <w:tcW w:w="2978" w:type="dxa"/>
          </w:tcPr>
          <w:p w14:paraId="3177D4AF" w14:textId="77777777" w:rsidR="00AE032A" w:rsidRPr="00664B4D" w:rsidRDefault="00AE032A" w:rsidP="00341200">
            <w:pPr>
              <w:jc w:val="both"/>
              <w:rPr>
                <w:color w:val="000000" w:themeColor="text1"/>
              </w:rPr>
            </w:pPr>
            <w:r>
              <w:rPr>
                <w:color w:val="000000" w:themeColor="text1"/>
              </w:rPr>
              <w:t>TARA (Current)</w:t>
            </w:r>
          </w:p>
        </w:tc>
        <w:tc>
          <w:tcPr>
            <w:tcW w:w="1843" w:type="dxa"/>
          </w:tcPr>
          <w:p w14:paraId="5D26FC4A" w14:textId="77777777" w:rsidR="00AE032A" w:rsidRPr="00AE032A" w:rsidRDefault="00AE032A" w:rsidP="00341200">
            <w:pPr>
              <w:jc w:val="right"/>
              <w:rPr>
                <w:color w:val="000000" w:themeColor="text1"/>
              </w:rPr>
            </w:pPr>
            <w:r w:rsidRPr="00AE032A">
              <w:rPr>
                <w:bCs/>
                <w:color w:val="000000"/>
              </w:rPr>
              <w:t>10,915,000.00</w:t>
            </w:r>
          </w:p>
        </w:tc>
        <w:tc>
          <w:tcPr>
            <w:tcW w:w="1842" w:type="dxa"/>
          </w:tcPr>
          <w:p w14:paraId="3BA97DFF" w14:textId="77777777" w:rsidR="00AE032A" w:rsidRPr="00AE032A" w:rsidRDefault="00AE032A" w:rsidP="00341200">
            <w:pPr>
              <w:jc w:val="right"/>
              <w:rPr>
                <w:color w:val="000000" w:themeColor="text1"/>
              </w:rPr>
            </w:pPr>
            <w:r w:rsidRPr="00AE032A">
              <w:rPr>
                <w:bCs/>
                <w:color w:val="000000"/>
              </w:rPr>
              <w:t>4,229,832.14</w:t>
            </w:r>
          </w:p>
        </w:tc>
        <w:tc>
          <w:tcPr>
            <w:tcW w:w="1843" w:type="dxa"/>
          </w:tcPr>
          <w:p w14:paraId="705374AD" w14:textId="77777777" w:rsidR="00AE032A" w:rsidRPr="00AE032A" w:rsidRDefault="00AE032A" w:rsidP="00341200">
            <w:pPr>
              <w:jc w:val="right"/>
              <w:rPr>
                <w:color w:val="000000" w:themeColor="text1"/>
              </w:rPr>
            </w:pPr>
            <w:r w:rsidRPr="00AE032A">
              <w:rPr>
                <w:bCs/>
                <w:color w:val="000000"/>
              </w:rPr>
              <w:t>2,449,217.51</w:t>
            </w:r>
          </w:p>
        </w:tc>
        <w:tc>
          <w:tcPr>
            <w:tcW w:w="992" w:type="dxa"/>
          </w:tcPr>
          <w:p w14:paraId="4CB01745" w14:textId="77777777" w:rsidR="00AE032A" w:rsidRPr="00AE032A" w:rsidRDefault="00AE032A" w:rsidP="00341200">
            <w:pPr>
              <w:jc w:val="both"/>
              <w:rPr>
                <w:color w:val="000000" w:themeColor="text1"/>
              </w:rPr>
            </w:pPr>
            <w:r w:rsidRPr="00AE032A">
              <w:rPr>
                <w:bCs/>
                <w:color w:val="000000"/>
              </w:rPr>
              <w:t>38.75%</w:t>
            </w:r>
          </w:p>
        </w:tc>
        <w:tc>
          <w:tcPr>
            <w:tcW w:w="993" w:type="dxa"/>
          </w:tcPr>
          <w:p w14:paraId="1A7986D0" w14:textId="77777777" w:rsidR="00AE032A" w:rsidRPr="00AE032A" w:rsidRDefault="00AE032A" w:rsidP="00341200">
            <w:pPr>
              <w:jc w:val="both"/>
              <w:rPr>
                <w:color w:val="000000" w:themeColor="text1"/>
              </w:rPr>
            </w:pPr>
            <w:r w:rsidRPr="00AE032A">
              <w:rPr>
                <w:bCs/>
                <w:color w:val="000000"/>
              </w:rPr>
              <w:t>22.43%</w:t>
            </w:r>
          </w:p>
        </w:tc>
      </w:tr>
      <w:tr w:rsidR="00341200" w14:paraId="65827714" w14:textId="77777777" w:rsidTr="00023229">
        <w:tc>
          <w:tcPr>
            <w:tcW w:w="2978" w:type="dxa"/>
          </w:tcPr>
          <w:p w14:paraId="7AF18D76" w14:textId="77777777" w:rsidR="00341200" w:rsidRPr="00664B4D" w:rsidRDefault="00341200" w:rsidP="00341200">
            <w:pPr>
              <w:jc w:val="both"/>
              <w:rPr>
                <w:color w:val="000000" w:themeColor="text1"/>
              </w:rPr>
            </w:pPr>
            <w:r w:rsidRPr="00664B4D">
              <w:rPr>
                <w:color w:val="000000" w:themeColor="text1"/>
              </w:rPr>
              <w:t>Policy and Plans Development</w:t>
            </w:r>
            <w:r w:rsidR="00AE032A">
              <w:rPr>
                <w:color w:val="000000" w:themeColor="text1"/>
              </w:rPr>
              <w:t xml:space="preserve"> (Current)</w:t>
            </w:r>
          </w:p>
        </w:tc>
        <w:tc>
          <w:tcPr>
            <w:tcW w:w="1843" w:type="dxa"/>
          </w:tcPr>
          <w:p w14:paraId="1FCCE958" w14:textId="77777777" w:rsidR="00341200" w:rsidRPr="00C825C9" w:rsidRDefault="00AE032A" w:rsidP="00341200">
            <w:pPr>
              <w:jc w:val="right"/>
              <w:rPr>
                <w:color w:val="000000" w:themeColor="text1"/>
              </w:rPr>
            </w:pPr>
            <w:r w:rsidRPr="00AE032A">
              <w:rPr>
                <w:color w:val="000000" w:themeColor="text1"/>
              </w:rPr>
              <w:t>167,000.00</w:t>
            </w:r>
          </w:p>
        </w:tc>
        <w:tc>
          <w:tcPr>
            <w:tcW w:w="1842" w:type="dxa"/>
          </w:tcPr>
          <w:p w14:paraId="1320AA04" w14:textId="77777777" w:rsidR="00341200" w:rsidRPr="00C825C9" w:rsidRDefault="00AE032A" w:rsidP="00341200">
            <w:pPr>
              <w:jc w:val="right"/>
              <w:rPr>
                <w:color w:val="000000" w:themeColor="text1"/>
              </w:rPr>
            </w:pPr>
            <w:r w:rsidRPr="00AE032A">
              <w:rPr>
                <w:color w:val="000000" w:themeColor="text1"/>
              </w:rPr>
              <w:t>10,158.00</w:t>
            </w:r>
          </w:p>
        </w:tc>
        <w:tc>
          <w:tcPr>
            <w:tcW w:w="1843" w:type="dxa"/>
          </w:tcPr>
          <w:p w14:paraId="67271525" w14:textId="77777777" w:rsidR="00341200" w:rsidRPr="00C825C9" w:rsidRDefault="00AE032A" w:rsidP="00341200">
            <w:pPr>
              <w:jc w:val="right"/>
              <w:rPr>
                <w:color w:val="000000" w:themeColor="text1"/>
              </w:rPr>
            </w:pPr>
            <w:r w:rsidRPr="00AE032A">
              <w:rPr>
                <w:color w:val="000000" w:themeColor="text1"/>
              </w:rPr>
              <w:t>10,158.00</w:t>
            </w:r>
          </w:p>
        </w:tc>
        <w:tc>
          <w:tcPr>
            <w:tcW w:w="992" w:type="dxa"/>
          </w:tcPr>
          <w:p w14:paraId="61632766" w14:textId="77777777" w:rsidR="00341200" w:rsidRPr="004D4FE4" w:rsidRDefault="00AE032A" w:rsidP="00341200">
            <w:pPr>
              <w:jc w:val="both"/>
              <w:rPr>
                <w:color w:val="000000" w:themeColor="text1"/>
              </w:rPr>
            </w:pPr>
            <w:r>
              <w:rPr>
                <w:color w:val="000000" w:themeColor="text1"/>
              </w:rPr>
              <w:t>6.08%</w:t>
            </w:r>
          </w:p>
        </w:tc>
        <w:tc>
          <w:tcPr>
            <w:tcW w:w="993" w:type="dxa"/>
          </w:tcPr>
          <w:p w14:paraId="33EB50AB" w14:textId="77777777" w:rsidR="00341200" w:rsidRPr="004D4FE4" w:rsidRDefault="00AE032A" w:rsidP="00341200">
            <w:pPr>
              <w:jc w:val="both"/>
              <w:rPr>
                <w:color w:val="000000" w:themeColor="text1"/>
              </w:rPr>
            </w:pPr>
            <w:r>
              <w:rPr>
                <w:color w:val="000000" w:themeColor="text1"/>
              </w:rPr>
              <w:t>6.08%</w:t>
            </w:r>
          </w:p>
        </w:tc>
      </w:tr>
      <w:tr w:rsidR="00341200" w14:paraId="73CA2FF6" w14:textId="77777777" w:rsidTr="00023229">
        <w:trPr>
          <w:trHeight w:val="564"/>
        </w:trPr>
        <w:tc>
          <w:tcPr>
            <w:tcW w:w="2978" w:type="dxa"/>
          </w:tcPr>
          <w:p w14:paraId="591F14A1" w14:textId="77777777" w:rsidR="00341200" w:rsidRPr="00664B4D" w:rsidRDefault="00341200" w:rsidP="00341200">
            <w:pPr>
              <w:jc w:val="both"/>
              <w:rPr>
                <w:color w:val="000000" w:themeColor="text1"/>
              </w:rPr>
            </w:pPr>
            <w:r w:rsidRPr="00664B4D">
              <w:rPr>
                <w:color w:val="000000" w:themeColor="text1"/>
              </w:rPr>
              <w:t>Social Technology Development</w:t>
            </w:r>
            <w:r w:rsidR="00AE032A">
              <w:rPr>
                <w:color w:val="000000" w:themeColor="text1"/>
              </w:rPr>
              <w:t xml:space="preserve"> (Current)</w:t>
            </w:r>
          </w:p>
        </w:tc>
        <w:tc>
          <w:tcPr>
            <w:tcW w:w="1843" w:type="dxa"/>
          </w:tcPr>
          <w:p w14:paraId="18674094" w14:textId="77777777" w:rsidR="00341200" w:rsidRPr="00AE032A" w:rsidRDefault="00AE032A" w:rsidP="00AE032A">
            <w:pPr>
              <w:jc w:val="right"/>
              <w:rPr>
                <w:color w:val="000000" w:themeColor="text1"/>
              </w:rPr>
            </w:pPr>
            <w:r>
              <w:rPr>
                <w:color w:val="000000" w:themeColor="text1"/>
              </w:rPr>
              <w:t>1,485,812</w:t>
            </w:r>
          </w:p>
        </w:tc>
        <w:tc>
          <w:tcPr>
            <w:tcW w:w="1842" w:type="dxa"/>
          </w:tcPr>
          <w:p w14:paraId="4C252A4F" w14:textId="77777777" w:rsidR="00341200" w:rsidRPr="00AE032A" w:rsidRDefault="00AE032A" w:rsidP="00AE032A">
            <w:pPr>
              <w:jc w:val="right"/>
              <w:rPr>
                <w:color w:val="000000" w:themeColor="text1"/>
              </w:rPr>
            </w:pPr>
            <w:r w:rsidRPr="00AE032A">
              <w:rPr>
                <w:color w:val="000000" w:themeColor="text1"/>
              </w:rPr>
              <w:t>269,266.51</w:t>
            </w:r>
          </w:p>
        </w:tc>
        <w:tc>
          <w:tcPr>
            <w:tcW w:w="1843" w:type="dxa"/>
          </w:tcPr>
          <w:p w14:paraId="48D4E98C" w14:textId="77777777" w:rsidR="00341200" w:rsidRDefault="00AE032A" w:rsidP="00341200">
            <w:pPr>
              <w:jc w:val="both"/>
              <w:rPr>
                <w:b/>
                <w:color w:val="000000" w:themeColor="text1"/>
              </w:rPr>
            </w:pPr>
            <w:r w:rsidRPr="00AE032A">
              <w:rPr>
                <w:color w:val="000000" w:themeColor="text1"/>
              </w:rPr>
              <w:t>269,266.51</w:t>
            </w:r>
          </w:p>
        </w:tc>
        <w:tc>
          <w:tcPr>
            <w:tcW w:w="992" w:type="dxa"/>
          </w:tcPr>
          <w:p w14:paraId="2B107953" w14:textId="77777777" w:rsidR="00341200" w:rsidRPr="00AE032A" w:rsidRDefault="00AE032A" w:rsidP="00341200">
            <w:pPr>
              <w:jc w:val="both"/>
              <w:rPr>
                <w:color w:val="000000" w:themeColor="text1"/>
              </w:rPr>
            </w:pPr>
            <w:r w:rsidRPr="00AE032A">
              <w:rPr>
                <w:color w:val="000000" w:themeColor="text1"/>
              </w:rPr>
              <w:t>18.12%</w:t>
            </w:r>
          </w:p>
        </w:tc>
        <w:tc>
          <w:tcPr>
            <w:tcW w:w="993" w:type="dxa"/>
          </w:tcPr>
          <w:p w14:paraId="320B3A59" w14:textId="77777777" w:rsidR="00341200" w:rsidRPr="00AE032A" w:rsidRDefault="00AE032A" w:rsidP="00341200">
            <w:pPr>
              <w:jc w:val="both"/>
              <w:rPr>
                <w:color w:val="000000" w:themeColor="text1"/>
              </w:rPr>
            </w:pPr>
            <w:r w:rsidRPr="00AE032A">
              <w:rPr>
                <w:color w:val="000000" w:themeColor="text1"/>
              </w:rPr>
              <w:t>18.12%</w:t>
            </w:r>
          </w:p>
        </w:tc>
      </w:tr>
      <w:tr w:rsidR="00341200" w14:paraId="6E784D9B" w14:textId="77777777" w:rsidTr="00023229">
        <w:tc>
          <w:tcPr>
            <w:tcW w:w="2978" w:type="dxa"/>
          </w:tcPr>
          <w:p w14:paraId="2E9EE315" w14:textId="77777777" w:rsidR="00341200" w:rsidRPr="00664B4D" w:rsidRDefault="00341200" w:rsidP="00341200">
            <w:pPr>
              <w:jc w:val="both"/>
              <w:rPr>
                <w:color w:val="000000" w:themeColor="text1"/>
              </w:rPr>
            </w:pPr>
            <w:r w:rsidRPr="00664B4D">
              <w:rPr>
                <w:color w:val="000000" w:themeColor="text1"/>
              </w:rPr>
              <w:t>National Household Targeting System for Poverty Reduction</w:t>
            </w:r>
          </w:p>
        </w:tc>
        <w:tc>
          <w:tcPr>
            <w:tcW w:w="1843" w:type="dxa"/>
          </w:tcPr>
          <w:p w14:paraId="207A7A11" w14:textId="77777777" w:rsidR="00341200" w:rsidRDefault="00AE032A" w:rsidP="00AE032A">
            <w:pPr>
              <w:jc w:val="right"/>
              <w:rPr>
                <w:b/>
                <w:color w:val="000000" w:themeColor="text1"/>
              </w:rPr>
            </w:pPr>
            <w:r w:rsidRPr="00AE032A">
              <w:rPr>
                <w:color w:val="000000" w:themeColor="text1"/>
              </w:rPr>
              <w:t>5,140,000.00</w:t>
            </w:r>
          </w:p>
        </w:tc>
        <w:tc>
          <w:tcPr>
            <w:tcW w:w="1842" w:type="dxa"/>
          </w:tcPr>
          <w:p w14:paraId="15A9A510" w14:textId="77777777" w:rsidR="00341200" w:rsidRPr="00AE032A" w:rsidRDefault="00AE032A" w:rsidP="00AE032A">
            <w:pPr>
              <w:jc w:val="right"/>
              <w:rPr>
                <w:color w:val="000000" w:themeColor="text1"/>
              </w:rPr>
            </w:pPr>
            <w:r w:rsidRPr="00AE032A">
              <w:rPr>
                <w:color w:val="000000" w:themeColor="text1"/>
              </w:rPr>
              <w:t>2,299,192.90</w:t>
            </w:r>
          </w:p>
        </w:tc>
        <w:tc>
          <w:tcPr>
            <w:tcW w:w="1843" w:type="dxa"/>
          </w:tcPr>
          <w:p w14:paraId="282E03D9" w14:textId="77777777" w:rsidR="00341200" w:rsidRPr="00AE032A" w:rsidRDefault="00AE032A" w:rsidP="00AE032A">
            <w:pPr>
              <w:jc w:val="right"/>
              <w:rPr>
                <w:color w:val="000000" w:themeColor="text1"/>
              </w:rPr>
            </w:pPr>
            <w:r w:rsidRPr="00AE032A">
              <w:rPr>
                <w:color w:val="000000" w:themeColor="text1"/>
              </w:rPr>
              <w:t>2,299,192.90</w:t>
            </w:r>
          </w:p>
        </w:tc>
        <w:tc>
          <w:tcPr>
            <w:tcW w:w="992" w:type="dxa"/>
          </w:tcPr>
          <w:p w14:paraId="085655AE" w14:textId="77777777" w:rsidR="00341200" w:rsidRPr="00AE032A" w:rsidRDefault="00AE032A" w:rsidP="00341200">
            <w:pPr>
              <w:jc w:val="both"/>
              <w:rPr>
                <w:color w:val="000000" w:themeColor="text1"/>
              </w:rPr>
            </w:pPr>
            <w:r w:rsidRPr="00AE032A">
              <w:rPr>
                <w:color w:val="000000" w:themeColor="text1"/>
              </w:rPr>
              <w:t>44.73%</w:t>
            </w:r>
          </w:p>
        </w:tc>
        <w:tc>
          <w:tcPr>
            <w:tcW w:w="993" w:type="dxa"/>
          </w:tcPr>
          <w:p w14:paraId="7321B060" w14:textId="77777777" w:rsidR="00341200" w:rsidRPr="00AE032A" w:rsidRDefault="00AE032A" w:rsidP="00341200">
            <w:pPr>
              <w:jc w:val="both"/>
              <w:rPr>
                <w:color w:val="000000" w:themeColor="text1"/>
              </w:rPr>
            </w:pPr>
            <w:r w:rsidRPr="00AE032A">
              <w:rPr>
                <w:color w:val="000000" w:themeColor="text1"/>
              </w:rPr>
              <w:t>44.73%</w:t>
            </w:r>
          </w:p>
        </w:tc>
      </w:tr>
      <w:tr w:rsidR="00341200" w14:paraId="20899DF4" w14:textId="77777777" w:rsidTr="00023229">
        <w:tc>
          <w:tcPr>
            <w:tcW w:w="2978" w:type="dxa"/>
          </w:tcPr>
          <w:p w14:paraId="18462188" w14:textId="77777777" w:rsidR="00341200" w:rsidRPr="00664B4D" w:rsidRDefault="00341200" w:rsidP="00341200">
            <w:pPr>
              <w:jc w:val="both"/>
              <w:rPr>
                <w:color w:val="000000" w:themeColor="text1"/>
              </w:rPr>
            </w:pPr>
            <w:r w:rsidRPr="00664B4D">
              <w:rPr>
                <w:color w:val="000000" w:themeColor="text1"/>
              </w:rPr>
              <w:t>Information and Communications Technology  Management</w:t>
            </w:r>
          </w:p>
        </w:tc>
        <w:tc>
          <w:tcPr>
            <w:tcW w:w="1843" w:type="dxa"/>
          </w:tcPr>
          <w:p w14:paraId="55811960" w14:textId="77777777" w:rsidR="00341200" w:rsidRDefault="00C6621B" w:rsidP="00C6621B">
            <w:pPr>
              <w:jc w:val="right"/>
              <w:rPr>
                <w:b/>
                <w:color w:val="000000" w:themeColor="text1"/>
              </w:rPr>
            </w:pPr>
            <w:r w:rsidRPr="00C6621B">
              <w:rPr>
                <w:b/>
                <w:color w:val="000000" w:themeColor="text1"/>
              </w:rPr>
              <w:t>10,791,576.00</w:t>
            </w:r>
          </w:p>
        </w:tc>
        <w:tc>
          <w:tcPr>
            <w:tcW w:w="1842" w:type="dxa"/>
          </w:tcPr>
          <w:p w14:paraId="54B74FD7" w14:textId="77777777" w:rsidR="00341200" w:rsidRDefault="00C6621B" w:rsidP="00C6621B">
            <w:pPr>
              <w:jc w:val="right"/>
              <w:rPr>
                <w:b/>
                <w:color w:val="000000" w:themeColor="text1"/>
              </w:rPr>
            </w:pPr>
            <w:r w:rsidRPr="00C6621B">
              <w:rPr>
                <w:b/>
                <w:color w:val="000000" w:themeColor="text1"/>
              </w:rPr>
              <w:t>2,313,037.65</w:t>
            </w:r>
          </w:p>
        </w:tc>
        <w:tc>
          <w:tcPr>
            <w:tcW w:w="1843" w:type="dxa"/>
          </w:tcPr>
          <w:p w14:paraId="177ECE63" w14:textId="77777777" w:rsidR="00341200" w:rsidRDefault="00C6621B" w:rsidP="00C6621B">
            <w:pPr>
              <w:jc w:val="right"/>
              <w:rPr>
                <w:b/>
                <w:color w:val="000000" w:themeColor="text1"/>
              </w:rPr>
            </w:pPr>
            <w:r w:rsidRPr="00C6621B">
              <w:rPr>
                <w:b/>
                <w:color w:val="000000" w:themeColor="text1"/>
              </w:rPr>
              <w:t>2,313,037.65</w:t>
            </w:r>
          </w:p>
        </w:tc>
        <w:tc>
          <w:tcPr>
            <w:tcW w:w="992" w:type="dxa"/>
          </w:tcPr>
          <w:p w14:paraId="76C0794A" w14:textId="77777777" w:rsidR="00341200" w:rsidRDefault="00C6621B" w:rsidP="00341200">
            <w:pPr>
              <w:jc w:val="both"/>
              <w:rPr>
                <w:b/>
                <w:color w:val="000000" w:themeColor="text1"/>
              </w:rPr>
            </w:pPr>
            <w:r>
              <w:rPr>
                <w:b/>
                <w:color w:val="000000" w:themeColor="text1"/>
              </w:rPr>
              <w:t>21.43%</w:t>
            </w:r>
          </w:p>
        </w:tc>
        <w:tc>
          <w:tcPr>
            <w:tcW w:w="993" w:type="dxa"/>
          </w:tcPr>
          <w:p w14:paraId="50F9F71B" w14:textId="77777777" w:rsidR="00341200" w:rsidRDefault="00C6621B" w:rsidP="00341200">
            <w:pPr>
              <w:jc w:val="both"/>
              <w:rPr>
                <w:b/>
                <w:color w:val="000000" w:themeColor="text1"/>
              </w:rPr>
            </w:pPr>
            <w:r>
              <w:rPr>
                <w:b/>
                <w:color w:val="000000" w:themeColor="text1"/>
              </w:rPr>
              <w:t>21.43%</w:t>
            </w:r>
          </w:p>
        </w:tc>
      </w:tr>
      <w:tr w:rsidR="00341200" w14:paraId="589943CA" w14:textId="77777777" w:rsidTr="00023229">
        <w:tc>
          <w:tcPr>
            <w:tcW w:w="2978" w:type="dxa"/>
          </w:tcPr>
          <w:p w14:paraId="5A7D56A2" w14:textId="77777777" w:rsidR="00341200" w:rsidRPr="00664B4D" w:rsidRDefault="00341200" w:rsidP="00341200">
            <w:pPr>
              <w:jc w:val="both"/>
              <w:rPr>
                <w:color w:val="000000" w:themeColor="text1"/>
              </w:rPr>
            </w:pPr>
            <w:r w:rsidRPr="00664B4D">
              <w:rPr>
                <w:color w:val="000000" w:themeColor="text1"/>
              </w:rPr>
              <w:t>General Administration and Support</w:t>
            </w:r>
          </w:p>
        </w:tc>
        <w:tc>
          <w:tcPr>
            <w:tcW w:w="1843" w:type="dxa"/>
          </w:tcPr>
          <w:p w14:paraId="15715926" w14:textId="77777777" w:rsidR="00341200" w:rsidRPr="003911D4" w:rsidRDefault="00C6621B" w:rsidP="00C6621B">
            <w:pPr>
              <w:jc w:val="right"/>
              <w:rPr>
                <w:color w:val="000000" w:themeColor="text1"/>
              </w:rPr>
            </w:pPr>
            <w:r w:rsidRPr="00C6621B">
              <w:rPr>
                <w:color w:val="000000" w:themeColor="text1"/>
              </w:rPr>
              <w:t>13,560,000.00</w:t>
            </w:r>
          </w:p>
        </w:tc>
        <w:tc>
          <w:tcPr>
            <w:tcW w:w="1842" w:type="dxa"/>
          </w:tcPr>
          <w:p w14:paraId="3875C78B" w14:textId="77777777" w:rsidR="00341200" w:rsidRPr="003911D4" w:rsidRDefault="00C6621B" w:rsidP="00C6621B">
            <w:pPr>
              <w:jc w:val="right"/>
              <w:rPr>
                <w:color w:val="000000" w:themeColor="text1"/>
              </w:rPr>
            </w:pPr>
            <w:r w:rsidRPr="00C6621B">
              <w:rPr>
                <w:color w:val="000000" w:themeColor="text1"/>
              </w:rPr>
              <w:t>5,393,964.45</w:t>
            </w:r>
          </w:p>
        </w:tc>
        <w:tc>
          <w:tcPr>
            <w:tcW w:w="1843" w:type="dxa"/>
          </w:tcPr>
          <w:p w14:paraId="1974F6F1" w14:textId="77777777" w:rsidR="00341200" w:rsidRPr="003911D4" w:rsidRDefault="00C6621B" w:rsidP="00C6621B">
            <w:pPr>
              <w:jc w:val="right"/>
              <w:rPr>
                <w:color w:val="000000" w:themeColor="text1"/>
              </w:rPr>
            </w:pPr>
            <w:r w:rsidRPr="00C6621B">
              <w:rPr>
                <w:color w:val="000000" w:themeColor="text1"/>
              </w:rPr>
              <w:t>5,393,964.45</w:t>
            </w:r>
          </w:p>
        </w:tc>
        <w:tc>
          <w:tcPr>
            <w:tcW w:w="992" w:type="dxa"/>
          </w:tcPr>
          <w:p w14:paraId="37322E0E" w14:textId="77777777" w:rsidR="00341200" w:rsidRPr="004D4FE4" w:rsidRDefault="00C6621B" w:rsidP="00C6621B">
            <w:pPr>
              <w:jc w:val="right"/>
              <w:rPr>
                <w:color w:val="000000" w:themeColor="text1"/>
              </w:rPr>
            </w:pPr>
            <w:r>
              <w:rPr>
                <w:color w:val="000000" w:themeColor="text1"/>
              </w:rPr>
              <w:t>39.78%</w:t>
            </w:r>
          </w:p>
        </w:tc>
        <w:tc>
          <w:tcPr>
            <w:tcW w:w="993" w:type="dxa"/>
          </w:tcPr>
          <w:p w14:paraId="1B1D92E6" w14:textId="77777777" w:rsidR="00341200" w:rsidRPr="004D4FE4" w:rsidRDefault="00C6621B" w:rsidP="00C6621B">
            <w:pPr>
              <w:jc w:val="right"/>
              <w:rPr>
                <w:color w:val="000000" w:themeColor="text1"/>
              </w:rPr>
            </w:pPr>
            <w:r>
              <w:rPr>
                <w:color w:val="000000" w:themeColor="text1"/>
              </w:rPr>
              <w:t>39.78%</w:t>
            </w:r>
          </w:p>
        </w:tc>
      </w:tr>
    </w:tbl>
    <w:p w14:paraId="0ACA8C1B" w14:textId="77777777" w:rsidR="0068148D" w:rsidRDefault="0068148D">
      <w:pPr>
        <w:rPr>
          <w:b/>
          <w:color w:val="000000" w:themeColor="text1"/>
        </w:rPr>
      </w:pPr>
    </w:p>
    <w:p w14:paraId="304569FB" w14:textId="77777777" w:rsidR="008972DC" w:rsidRDefault="008972DC">
      <w:pPr>
        <w:rPr>
          <w:b/>
          <w:color w:val="000000" w:themeColor="text1"/>
        </w:rPr>
      </w:pPr>
    </w:p>
    <w:p w14:paraId="1FF035EE" w14:textId="77777777" w:rsidR="00023229" w:rsidRDefault="00023229">
      <w:pPr>
        <w:rPr>
          <w:b/>
          <w:color w:val="000000" w:themeColor="text1"/>
        </w:rPr>
      </w:pPr>
    </w:p>
    <w:p w14:paraId="71FF9474" w14:textId="06332260" w:rsidR="008972DC" w:rsidRPr="00023229" w:rsidRDefault="00023229" w:rsidP="00023229">
      <w:pPr>
        <w:pStyle w:val="ListParagraph"/>
        <w:numPr>
          <w:ilvl w:val="0"/>
          <w:numId w:val="75"/>
        </w:numPr>
        <w:spacing w:before="240" w:after="240"/>
        <w:jc w:val="both"/>
        <w:rPr>
          <w:b/>
          <w:color w:val="000000" w:themeColor="text1"/>
        </w:rPr>
      </w:pPr>
      <w:r w:rsidRPr="00023229">
        <w:rPr>
          <w:b/>
          <w:color w:val="000000" w:themeColor="text1"/>
        </w:rPr>
        <w:lastRenderedPageBreak/>
        <w:t>OVERALL ASSESSMENT</w:t>
      </w:r>
    </w:p>
    <w:p w14:paraId="74EF10E9" w14:textId="77777777" w:rsidR="008972DC" w:rsidRPr="00132ED9" w:rsidRDefault="008972DC" w:rsidP="008972DC">
      <w:pPr>
        <w:spacing w:before="240" w:after="240"/>
        <w:ind w:left="210"/>
        <w:jc w:val="both"/>
        <w:rPr>
          <w:b/>
          <w:color w:val="000000" w:themeColor="text1"/>
        </w:rPr>
      </w:pPr>
      <w:r w:rsidRPr="00132ED9">
        <w:rPr>
          <w:rFonts w:eastAsia="Times New Roman"/>
          <w:b/>
          <w:color w:val="000000"/>
          <w:sz w:val="24"/>
          <w:szCs w:val="24"/>
          <w:lang w:val="en-PH" w:eastAsia="en-PH"/>
        </w:rPr>
        <w:t>Strategic Focus 2: Improve well-being of Beneficiaries and 4Ps households through strengthened social welfare system</w:t>
      </w:r>
    </w:p>
    <w:p w14:paraId="1268B4B5" w14:textId="77777777" w:rsidR="008972DC" w:rsidRPr="00132ED9" w:rsidRDefault="008972DC" w:rsidP="008972DC">
      <w:pPr>
        <w:spacing w:before="240" w:after="240"/>
        <w:rPr>
          <w:b/>
          <w:color w:val="000000" w:themeColor="text1"/>
        </w:rPr>
      </w:pPr>
      <w:r w:rsidRPr="00132ED9">
        <w:rPr>
          <w:b/>
          <w:color w:val="000000" w:themeColor="text1"/>
        </w:rPr>
        <w:t xml:space="preserve">ORGANIZATIONAL OUTCOME 1: The well-being of poor families improved </w:t>
      </w:r>
    </w:p>
    <w:p w14:paraId="55E9332F" w14:textId="77777777" w:rsidR="008972DC" w:rsidRDefault="008972DC" w:rsidP="008972DC">
      <w:pPr>
        <w:spacing w:before="240" w:after="240"/>
        <w:jc w:val="both"/>
      </w:pPr>
      <w:r w:rsidRPr="00B31BC4">
        <w:t>The Promotive Programs are the strategic grouping of the flagship social protection programs of the Department that provide investment to human capital through conditional cash transfer, community-driven development, and sustainable livelihood</w:t>
      </w:r>
      <w:r>
        <w:t>.</w:t>
      </w:r>
      <w:r w:rsidRPr="00284D9F">
        <w:t xml:space="preserve"> As a result, the</w:t>
      </w:r>
      <w:r>
        <w:t xml:space="preserve"> department develops promotive</w:t>
      </w:r>
      <w:r w:rsidRPr="00284D9F">
        <w:t xml:space="preserve"> activities aimed at empowering impoverished families and assisting them in improving their economic, and social well-being to become active participants and partners in development.</w:t>
      </w:r>
    </w:p>
    <w:p w14:paraId="6E5D6B16" w14:textId="77777777" w:rsidR="008972DC" w:rsidRDefault="008972DC" w:rsidP="008972DC">
      <w:pPr>
        <w:pStyle w:val="ListParagraph"/>
        <w:spacing w:before="240" w:after="240"/>
        <w:ind w:left="570"/>
        <w:rPr>
          <w:b/>
          <w:color w:val="000000" w:themeColor="text1"/>
        </w:rPr>
      </w:pPr>
    </w:p>
    <w:p w14:paraId="10E2231B" w14:textId="77777777" w:rsidR="008972DC" w:rsidRDefault="008972DC" w:rsidP="00516AD6">
      <w:pPr>
        <w:pStyle w:val="ListParagraph"/>
        <w:numPr>
          <w:ilvl w:val="0"/>
          <w:numId w:val="2"/>
        </w:numPr>
        <w:spacing w:before="240" w:after="240"/>
        <w:rPr>
          <w:b/>
          <w:color w:val="000000" w:themeColor="text1"/>
        </w:rPr>
      </w:pPr>
      <w:r w:rsidRPr="00A12880">
        <w:rPr>
          <w:b/>
          <w:color w:val="000000" w:themeColor="text1"/>
        </w:rPr>
        <w:t>Pantawid Pamilyang Pilipino Program</w:t>
      </w:r>
    </w:p>
    <w:p w14:paraId="4E697CE1" w14:textId="7708B6CB" w:rsidR="008972DC" w:rsidRPr="00132ED9" w:rsidRDefault="008972DC" w:rsidP="008972DC">
      <w:pPr>
        <w:pStyle w:val="ListParagraph"/>
        <w:spacing w:line="240" w:lineRule="auto"/>
        <w:ind w:left="570"/>
        <w:jc w:val="both"/>
        <w:rPr>
          <w:rFonts w:ascii="Times New Roman" w:eastAsia="Times New Roman" w:hAnsi="Times New Roman" w:cs="Times New Roman"/>
          <w:sz w:val="24"/>
          <w:szCs w:val="24"/>
          <w:lang w:val="en-PH" w:eastAsia="en-PH"/>
        </w:rPr>
      </w:pPr>
      <w:r w:rsidRPr="00132ED9">
        <w:rPr>
          <w:rFonts w:eastAsia="Times New Roman"/>
          <w:color w:val="000000"/>
          <w:lang w:val="en-PH" w:eastAsia="en-PH"/>
        </w:rPr>
        <w:t xml:space="preserve">Institutionalized by the enactment of Republic Act No. 11310, </w:t>
      </w:r>
      <w:r w:rsidRPr="00132ED9">
        <w:rPr>
          <w:rFonts w:eastAsia="Times New Roman"/>
          <w:b/>
          <w:bCs/>
          <w:color w:val="000000"/>
          <w:lang w:val="en-PH" w:eastAsia="en-PH"/>
        </w:rPr>
        <w:t xml:space="preserve">the Pantawid Pamilyang Pilipino or 4Ps is the </w:t>
      </w:r>
      <w:r w:rsidRPr="00132ED9">
        <w:rPr>
          <w:rFonts w:eastAsia="Times New Roman"/>
          <w:b/>
          <w:bCs/>
          <w:i/>
          <w:iCs/>
          <w:color w:val="000000"/>
          <w:lang w:val="en-PH" w:eastAsia="en-PH"/>
        </w:rPr>
        <w:t xml:space="preserve">national poverty alleviation strategy </w:t>
      </w:r>
      <w:r w:rsidRPr="00132ED9">
        <w:rPr>
          <w:rFonts w:eastAsia="Times New Roman"/>
          <w:b/>
          <w:bCs/>
          <w:color w:val="000000"/>
          <w:lang w:val="en-PH" w:eastAsia="en-PH"/>
        </w:rPr>
        <w:t>and a human capital investment program that provides conditional cash transfer to poor households for a maximum period of seven (7) years.</w:t>
      </w:r>
      <w:r w:rsidRPr="00132ED9">
        <w:rPr>
          <w:rFonts w:eastAsia="Times New Roman"/>
          <w:color w:val="000000"/>
          <w:lang w:val="en-PH" w:eastAsia="en-PH"/>
        </w:rPr>
        <w:t xml:space="preserve">  This program espouses a vision of breaking the intergenerational </w:t>
      </w:r>
      <w:r w:rsidR="00EE16D3">
        <w:rPr>
          <w:rFonts w:eastAsia="Times New Roman"/>
          <w:color w:val="000000"/>
          <w:lang w:val="en-PH" w:eastAsia="en-PH"/>
        </w:rPr>
        <w:t>cycle of poverty</w:t>
      </w:r>
      <w:r w:rsidRPr="00132ED9">
        <w:rPr>
          <w:rFonts w:eastAsia="Times New Roman"/>
          <w:color w:val="000000"/>
          <w:lang w:val="en-PH" w:eastAsia="en-PH"/>
        </w:rPr>
        <w:t xml:space="preserve"> and is primarily aimed to improve the human capital of the poor, by ensuring children are in school to acquire the necessary knowledge, skills, and competencies for better employment opportunities in the future; by guaranteeing that infant, children aged 3-5 years old and pregnant women are properly monitored for optimum growth and development; and by transforming the mindsets of the poor so they can perform their duties and responsibilities as parents/ adults in the households. </w:t>
      </w:r>
    </w:p>
    <w:p w14:paraId="3FE894D0" w14:textId="77777777" w:rsidR="008972DC" w:rsidRPr="00132ED9" w:rsidRDefault="008972DC" w:rsidP="008972DC">
      <w:pPr>
        <w:pStyle w:val="ListParagraph"/>
        <w:spacing w:line="240" w:lineRule="auto"/>
        <w:ind w:left="570"/>
        <w:rPr>
          <w:rFonts w:ascii="Times New Roman" w:eastAsia="Times New Roman" w:hAnsi="Times New Roman" w:cs="Times New Roman"/>
          <w:sz w:val="24"/>
          <w:szCs w:val="24"/>
          <w:lang w:val="en-PH" w:eastAsia="en-PH"/>
        </w:rPr>
      </w:pPr>
    </w:p>
    <w:p w14:paraId="58A1B791" w14:textId="77777777" w:rsidR="008972DC" w:rsidRPr="001A1069" w:rsidRDefault="008972DC" w:rsidP="008972DC">
      <w:pPr>
        <w:pStyle w:val="ListParagraph"/>
        <w:spacing w:line="240" w:lineRule="auto"/>
        <w:ind w:left="570"/>
        <w:jc w:val="both"/>
        <w:rPr>
          <w:rFonts w:ascii="Times New Roman" w:eastAsia="Times New Roman" w:hAnsi="Times New Roman" w:cs="Times New Roman"/>
          <w:sz w:val="24"/>
          <w:szCs w:val="24"/>
          <w:lang w:val="en-PH" w:eastAsia="en-PH"/>
        </w:rPr>
      </w:pPr>
      <w:r w:rsidRPr="001A1069">
        <w:rPr>
          <w:rFonts w:eastAsia="Times New Roman"/>
          <w:color w:val="000000"/>
          <w:lang w:val="en-PH" w:eastAsia="en-PH"/>
        </w:rPr>
        <w:t xml:space="preserve">For CY 2022, the Pantawid Pamilyang Pilipino has a cumulative Physical and Financial Target of 106,212 households and ₱2,615,191,730. At the end of the 1st Semester, </w:t>
      </w:r>
      <w:r w:rsidRPr="001A1069">
        <w:rPr>
          <w:rFonts w:eastAsia="Times New Roman"/>
          <w:bCs/>
          <w:i/>
          <w:iCs/>
          <w:color w:val="000000"/>
          <w:lang w:val="en-PH" w:eastAsia="en-PH"/>
        </w:rPr>
        <w:t xml:space="preserve">Field Office 02 has 129,055 active household beneficiaries. </w:t>
      </w:r>
      <w:r w:rsidRPr="001A1069">
        <w:rPr>
          <w:rFonts w:eastAsia="Times New Roman"/>
          <w:color w:val="000000"/>
          <w:lang w:val="en-PH" w:eastAsia="en-PH"/>
        </w:rPr>
        <w:t>103,969 HHs belong to RCCT, while the remaining 5,425 HHs are under the MCCT.</w:t>
      </w:r>
      <w:r w:rsidRPr="001A1069">
        <w:rPr>
          <w:rFonts w:eastAsia="Times New Roman"/>
          <w:bCs/>
          <w:i/>
          <w:iCs/>
          <w:color w:val="000000"/>
          <w:lang w:val="en-PH" w:eastAsia="en-PH"/>
        </w:rPr>
        <w:t xml:space="preserve"> The total served HHs constitutes 109,394% of the set target of 106,212 HHs.</w:t>
      </w:r>
      <w:r w:rsidRPr="001A1069">
        <w:rPr>
          <w:rFonts w:eastAsia="Times New Roman"/>
          <w:color w:val="000000"/>
          <w:lang w:val="en-PH" w:eastAsia="en-PH"/>
        </w:rPr>
        <w:t xml:space="preserve"> Correspondingly, the program has disbursed a total amount of ₱569,931,500.00 out of the ₱716,532,875 funded cash grants from Period 6 of 2021B to Period 1 of 2022 (covering the months of January to March 2022); this equates to a 79.54% disbursement rate. The relatively low disbursement rate is attributable to the withholding of cash grants of MCCT beneficiaries not assessed in Listahanan. In terms of compliance to program conditionalities, the program currently holds the following cumulative compliance rates from January to March of the present year, to wit: Education (88.75%) and Health &amp; FDS (96.44%). The program likewise proactively resolves all received grievances. For the 1st Semester of CY 2022, the FO-GRS received a total of </w:t>
      </w:r>
      <w:r w:rsidRPr="001A1069">
        <w:rPr>
          <w:rFonts w:eastAsia="Times New Roman"/>
          <w:color w:val="000000"/>
          <w:sz w:val="24"/>
          <w:szCs w:val="24"/>
          <w:lang w:val="en-PH" w:eastAsia="en-PH"/>
        </w:rPr>
        <w:t>1435 wherein 821 were already resolved while 613 are still ongoing garnering a resolution rate of 57.21%</w:t>
      </w:r>
      <w:r w:rsidRPr="001A1069">
        <w:rPr>
          <w:rFonts w:eastAsia="Times New Roman"/>
          <w:color w:val="000000"/>
          <w:lang w:val="en-PH" w:eastAsia="en-PH"/>
        </w:rPr>
        <w:t>. </w:t>
      </w:r>
    </w:p>
    <w:p w14:paraId="4F0C24DE" w14:textId="77777777" w:rsidR="008972DC" w:rsidRPr="003948D4" w:rsidRDefault="008972DC" w:rsidP="008972DC">
      <w:pPr>
        <w:spacing w:before="240" w:after="240"/>
        <w:rPr>
          <w:b/>
          <w:color w:val="000000" w:themeColor="text1"/>
        </w:rPr>
      </w:pPr>
      <w:r>
        <w:rPr>
          <w:b/>
          <w:color w:val="000000" w:themeColor="text1"/>
        </w:rPr>
        <w:t xml:space="preserve">2. </w:t>
      </w:r>
      <w:r w:rsidRPr="003948D4">
        <w:rPr>
          <w:b/>
          <w:color w:val="000000" w:themeColor="text1"/>
        </w:rPr>
        <w:t>Sustainable Livelihood Program</w:t>
      </w:r>
    </w:p>
    <w:p w14:paraId="1FEF47C5" w14:textId="77777777" w:rsidR="008972DC" w:rsidRPr="007B290F" w:rsidRDefault="008972DC" w:rsidP="008972DC">
      <w:pPr>
        <w:spacing w:line="240" w:lineRule="auto"/>
        <w:jc w:val="both"/>
        <w:rPr>
          <w:rFonts w:ascii="Times New Roman" w:eastAsia="Times New Roman" w:hAnsi="Times New Roman" w:cs="Times New Roman"/>
          <w:lang w:val="en-PH" w:eastAsia="en-PH"/>
        </w:rPr>
      </w:pPr>
      <w:r w:rsidRPr="007B290F">
        <w:rPr>
          <w:rFonts w:eastAsia="Times New Roman"/>
          <w:color w:val="000000"/>
          <w:lang w:val="en-PH" w:eastAsia="en-PH"/>
        </w:rPr>
        <w:t>The Sustainable Livelihood Program is a capacity building program for the poor, vulnerable and marginalized households and communities to help improve their socio-economic conditions through acquiring necessary assets to engage in and maintain thriving livelihoods. </w:t>
      </w:r>
    </w:p>
    <w:p w14:paraId="39A1125B" w14:textId="77777777" w:rsidR="008972DC" w:rsidRPr="007B290F" w:rsidRDefault="008972DC" w:rsidP="008972DC">
      <w:pPr>
        <w:spacing w:before="240" w:after="240"/>
        <w:jc w:val="both"/>
        <w:rPr>
          <w:color w:val="000000" w:themeColor="text1"/>
        </w:rPr>
      </w:pPr>
      <w:r w:rsidRPr="007B290F">
        <w:rPr>
          <w:rFonts w:eastAsia="Times New Roman"/>
          <w:color w:val="000000"/>
          <w:lang w:val="en-PH" w:eastAsia="en-PH"/>
        </w:rPr>
        <w:t xml:space="preserve">For this year, the region implements different program portfolios namely the SLP Regular, Referrals, Executive Order (EO) No. 70 and Zero Hunger wherein a total of </w:t>
      </w:r>
      <w:r w:rsidRPr="007B290F">
        <w:rPr>
          <w:rFonts w:eastAsia="Times New Roman"/>
          <w:bCs/>
          <w:color w:val="000000"/>
          <w:lang w:val="en-PH" w:eastAsia="en-PH"/>
        </w:rPr>
        <w:t>8,722</w:t>
      </w:r>
      <w:r w:rsidRPr="007B290F">
        <w:rPr>
          <w:rFonts w:eastAsia="Times New Roman"/>
          <w:color w:val="000000"/>
          <w:lang w:val="en-PH" w:eastAsia="en-PH"/>
        </w:rPr>
        <w:t xml:space="preserve"> households are targeted to be served with financial </w:t>
      </w:r>
      <w:r w:rsidRPr="007B290F">
        <w:rPr>
          <w:rFonts w:eastAsia="Times New Roman"/>
          <w:bCs/>
          <w:color w:val="000000"/>
          <w:lang w:val="en-PH" w:eastAsia="en-PH"/>
        </w:rPr>
        <w:t>current allocation</w:t>
      </w:r>
      <w:r w:rsidRPr="007B290F">
        <w:rPr>
          <w:rFonts w:eastAsia="Times New Roman"/>
          <w:color w:val="000000"/>
          <w:lang w:val="en-PH" w:eastAsia="en-PH"/>
        </w:rPr>
        <w:t xml:space="preserve"> of </w:t>
      </w:r>
      <w:r w:rsidRPr="007B290F">
        <w:rPr>
          <w:rFonts w:eastAsia="Times New Roman"/>
          <w:bCs/>
          <w:color w:val="000000"/>
          <w:lang w:val="en-PH" w:eastAsia="en-PH"/>
        </w:rPr>
        <w:t>P202,552,334.</w:t>
      </w:r>
      <w:r w:rsidRPr="007B290F">
        <w:rPr>
          <w:rFonts w:eastAsia="Times New Roman"/>
          <w:color w:val="000000"/>
          <w:lang w:val="en-PH" w:eastAsia="en-PH"/>
        </w:rPr>
        <w:t> </w:t>
      </w:r>
      <w:r w:rsidRPr="007B290F">
        <w:rPr>
          <w:color w:val="000000" w:themeColor="text1"/>
        </w:rPr>
        <w:t xml:space="preserve">Kapit Bisig Laban sa Kahirapan Comprehensive and Integrated Delivery of Social Services (KALAHI CIDSS). </w:t>
      </w:r>
    </w:p>
    <w:p w14:paraId="7349F2F7" w14:textId="77777777" w:rsidR="008972DC" w:rsidRPr="007B290F" w:rsidRDefault="008972DC" w:rsidP="008972DC">
      <w:pPr>
        <w:spacing w:line="240" w:lineRule="auto"/>
        <w:jc w:val="both"/>
        <w:rPr>
          <w:rFonts w:ascii="Times New Roman" w:eastAsia="Times New Roman" w:hAnsi="Times New Roman" w:cs="Times New Roman"/>
          <w:lang w:val="en-PH" w:eastAsia="en-PH"/>
        </w:rPr>
      </w:pPr>
      <w:r w:rsidRPr="007B290F">
        <w:rPr>
          <w:rFonts w:eastAsia="Times New Roman"/>
          <w:color w:val="000000"/>
          <w:lang w:val="en-PH" w:eastAsia="en-PH"/>
        </w:rPr>
        <w:t xml:space="preserve">For the SLP Regular, this will be implemented through the provision of Livelihood Assistance Grants (LAG) to low income families who are continuously affected by the Covid-19 pandemic. </w:t>
      </w:r>
      <w:r w:rsidRPr="007B290F">
        <w:rPr>
          <w:rFonts w:eastAsia="Times New Roman"/>
          <w:color w:val="000000"/>
          <w:lang w:val="en-PH" w:eastAsia="en-PH"/>
        </w:rPr>
        <w:lastRenderedPageBreak/>
        <w:t>It aims to assist the SLP beneficiaries’ recovery from economic losses and can be used as seed capital to start-up new or enhance existing feasible and viable microenterprises, purchase inputs or starter kits needed for the identified microenterprise and/or for employment-related activities such as, but not limited to, transportation or fare expenses. </w:t>
      </w:r>
    </w:p>
    <w:p w14:paraId="76FAD9A0" w14:textId="77777777" w:rsidR="008972DC" w:rsidRPr="007B290F" w:rsidRDefault="008972DC" w:rsidP="008972DC">
      <w:pPr>
        <w:spacing w:line="240" w:lineRule="auto"/>
        <w:rPr>
          <w:rFonts w:ascii="Times New Roman" w:eastAsia="Times New Roman" w:hAnsi="Times New Roman" w:cs="Times New Roman"/>
          <w:lang w:val="en-PH" w:eastAsia="en-PH"/>
        </w:rPr>
      </w:pPr>
    </w:p>
    <w:p w14:paraId="107BBE8C" w14:textId="188FB24D" w:rsidR="008972DC" w:rsidRPr="007B290F" w:rsidRDefault="008972DC" w:rsidP="008972DC">
      <w:pPr>
        <w:spacing w:line="240" w:lineRule="auto"/>
        <w:jc w:val="both"/>
        <w:rPr>
          <w:rFonts w:ascii="Times New Roman" w:eastAsia="Times New Roman" w:hAnsi="Times New Roman" w:cs="Times New Roman"/>
          <w:lang w:val="en-PH" w:eastAsia="en-PH"/>
        </w:rPr>
      </w:pPr>
      <w:r w:rsidRPr="007B290F">
        <w:rPr>
          <w:rFonts w:eastAsia="Times New Roman"/>
          <w:color w:val="000000"/>
          <w:lang w:val="en-PH" w:eastAsia="en-PH"/>
        </w:rPr>
        <w:t xml:space="preserve">On the other hand, </w:t>
      </w:r>
      <w:r w:rsidR="00EE16D3">
        <w:rPr>
          <w:rFonts w:eastAsia="Times New Roman"/>
          <w:color w:val="000000"/>
          <w:lang w:val="en-PH" w:eastAsia="en-PH"/>
        </w:rPr>
        <w:t>r</w:t>
      </w:r>
      <w:r w:rsidRPr="007B290F">
        <w:rPr>
          <w:rFonts w:eastAsia="Times New Roman"/>
          <w:color w:val="000000"/>
          <w:lang w:val="en-PH" w:eastAsia="en-PH"/>
        </w:rPr>
        <w:t>eferrals particularly from the Office of the President (OP Referrals), Zero Hunger, and EO 70 are among the specialized programs being implemented in the region.  OP Referrals can either be implemented through Regular SLP or LAG; Zero Hunger can be implemented through Partnership for Sustainable Living, Kabuhayan Integration, Business Initiatives, and Gainful Access to Network (KAIBIGAN) and the Capacity Development for Farmers, People’s Organizations, and Households in Urban and Rural Community Projects; while the EO 70 can be implemented through the provision of Livelihood Settlement Grants to Conflict and Vulnerable Areas (CVAs) and Former Rebels (FRs).</w:t>
      </w:r>
    </w:p>
    <w:p w14:paraId="7649B83A" w14:textId="77777777" w:rsidR="008972DC" w:rsidRPr="007B290F" w:rsidRDefault="008972DC" w:rsidP="008972DC">
      <w:pPr>
        <w:spacing w:line="240" w:lineRule="auto"/>
        <w:jc w:val="both"/>
        <w:rPr>
          <w:rFonts w:eastAsia="Times New Roman"/>
          <w:color w:val="000000"/>
          <w:lang w:val="en-PH" w:eastAsia="en-PH"/>
        </w:rPr>
      </w:pPr>
    </w:p>
    <w:p w14:paraId="052D9231" w14:textId="77777777" w:rsidR="008972DC" w:rsidRPr="007B290F" w:rsidRDefault="008972DC" w:rsidP="008972DC">
      <w:pPr>
        <w:spacing w:line="240" w:lineRule="auto"/>
        <w:jc w:val="both"/>
        <w:rPr>
          <w:rFonts w:ascii="Times New Roman" w:eastAsia="Times New Roman" w:hAnsi="Times New Roman" w:cs="Times New Roman"/>
          <w:lang w:val="en-PH" w:eastAsia="en-PH"/>
        </w:rPr>
      </w:pPr>
      <w:r w:rsidRPr="007B290F">
        <w:rPr>
          <w:rFonts w:eastAsia="Times New Roman"/>
          <w:color w:val="000000"/>
          <w:lang w:val="en-PH" w:eastAsia="en-PH"/>
        </w:rPr>
        <w:t xml:space="preserve">The program served a total of </w:t>
      </w:r>
      <w:r w:rsidRPr="007B290F">
        <w:rPr>
          <w:rFonts w:eastAsia="Times New Roman"/>
          <w:bCs/>
          <w:color w:val="000000"/>
          <w:lang w:val="en-PH" w:eastAsia="en-PH"/>
        </w:rPr>
        <w:t>944</w:t>
      </w:r>
      <w:r w:rsidRPr="007B290F">
        <w:rPr>
          <w:rFonts w:eastAsia="Times New Roman"/>
          <w:color w:val="000000"/>
          <w:lang w:val="en-PH" w:eastAsia="en-PH"/>
        </w:rPr>
        <w:t xml:space="preserve"> beneficiaries through the provision of LAG or which is </w:t>
      </w:r>
      <w:r w:rsidRPr="007B290F">
        <w:rPr>
          <w:rFonts w:eastAsia="Times New Roman"/>
          <w:bCs/>
          <w:color w:val="000000"/>
          <w:lang w:val="en-PH" w:eastAsia="en-PH"/>
        </w:rPr>
        <w:t>10.82%</w:t>
      </w:r>
      <w:r w:rsidRPr="007B290F">
        <w:rPr>
          <w:rFonts w:eastAsia="Times New Roman"/>
          <w:color w:val="000000"/>
          <w:lang w:val="en-PH" w:eastAsia="en-PH"/>
        </w:rPr>
        <w:t xml:space="preserve"> of the total physical targets while fund utilization is </w:t>
      </w:r>
      <w:r w:rsidRPr="007B290F">
        <w:rPr>
          <w:rFonts w:eastAsia="Times New Roman"/>
          <w:bCs/>
          <w:color w:val="000000"/>
          <w:lang w:val="en-PH" w:eastAsia="en-PH"/>
        </w:rPr>
        <w:t>7.72% or P15,639,751</w:t>
      </w:r>
      <w:r w:rsidRPr="007B290F">
        <w:rPr>
          <w:rFonts w:eastAsia="Times New Roman"/>
          <w:color w:val="000000"/>
          <w:lang w:val="en-PH" w:eastAsia="en-PH"/>
        </w:rPr>
        <w:t>.</w:t>
      </w:r>
    </w:p>
    <w:p w14:paraId="404E24DD" w14:textId="77777777" w:rsidR="008972DC" w:rsidRPr="007B290F" w:rsidRDefault="008972DC" w:rsidP="008972DC">
      <w:pPr>
        <w:spacing w:line="240" w:lineRule="auto"/>
        <w:rPr>
          <w:rFonts w:ascii="Times New Roman" w:eastAsia="Times New Roman" w:hAnsi="Times New Roman" w:cs="Times New Roman"/>
          <w:lang w:val="en-PH" w:eastAsia="en-PH"/>
        </w:rPr>
      </w:pPr>
    </w:p>
    <w:p w14:paraId="10E8FB91" w14:textId="77777777" w:rsidR="008972DC" w:rsidRPr="007B290F" w:rsidRDefault="008972DC" w:rsidP="008972DC">
      <w:pPr>
        <w:spacing w:line="240" w:lineRule="auto"/>
        <w:jc w:val="both"/>
        <w:rPr>
          <w:rFonts w:ascii="Times New Roman" w:eastAsia="Times New Roman" w:hAnsi="Times New Roman" w:cs="Times New Roman"/>
          <w:lang w:val="en-PH" w:eastAsia="en-PH"/>
        </w:rPr>
      </w:pPr>
      <w:r w:rsidRPr="007B290F">
        <w:rPr>
          <w:rFonts w:eastAsia="Times New Roman"/>
          <w:color w:val="000000"/>
          <w:lang w:val="en-PH" w:eastAsia="en-PH"/>
        </w:rPr>
        <w:t xml:space="preserve">Apart from the CY 2022 Current Funds, the program has CY 2021 Continuing Funds of </w:t>
      </w:r>
      <w:r w:rsidRPr="007B290F">
        <w:rPr>
          <w:rFonts w:eastAsia="Times New Roman"/>
          <w:bCs/>
          <w:color w:val="000000"/>
          <w:lang w:val="en-PH" w:eastAsia="en-PH"/>
        </w:rPr>
        <w:t>P20,923,977</w:t>
      </w:r>
      <w:r w:rsidRPr="007B290F">
        <w:rPr>
          <w:rFonts w:eastAsia="Times New Roman"/>
          <w:color w:val="000000"/>
          <w:lang w:val="en-PH" w:eastAsia="en-PH"/>
        </w:rPr>
        <w:t xml:space="preserve"> which are already </w:t>
      </w:r>
      <w:r w:rsidRPr="007B290F">
        <w:rPr>
          <w:rFonts w:eastAsia="Times New Roman"/>
          <w:bCs/>
          <w:color w:val="000000"/>
          <w:lang w:val="en-PH" w:eastAsia="en-PH"/>
        </w:rPr>
        <w:t>100%</w:t>
      </w:r>
      <w:r w:rsidRPr="007B290F">
        <w:rPr>
          <w:rFonts w:eastAsia="Times New Roman"/>
          <w:color w:val="000000"/>
          <w:lang w:val="en-PH" w:eastAsia="en-PH"/>
        </w:rPr>
        <w:t xml:space="preserve"> utilized. These include the funds from the Office of the President amounting to </w:t>
      </w:r>
      <w:r w:rsidRPr="007B290F">
        <w:rPr>
          <w:rFonts w:eastAsia="Times New Roman"/>
          <w:bCs/>
          <w:color w:val="000000"/>
          <w:lang w:val="en-PH" w:eastAsia="en-PH"/>
        </w:rPr>
        <w:t>P16,822,461</w:t>
      </w:r>
      <w:r w:rsidRPr="007B290F">
        <w:rPr>
          <w:rFonts w:eastAsia="Times New Roman"/>
          <w:color w:val="000000"/>
          <w:lang w:val="en-PH" w:eastAsia="en-PH"/>
        </w:rPr>
        <w:t xml:space="preserve"> and modified administrative cost amounting to </w:t>
      </w:r>
      <w:r w:rsidRPr="007B290F">
        <w:rPr>
          <w:rFonts w:eastAsia="Times New Roman"/>
          <w:bCs/>
          <w:color w:val="000000"/>
          <w:lang w:val="en-PH" w:eastAsia="en-PH"/>
        </w:rPr>
        <w:t>P4,101,516. </w:t>
      </w:r>
    </w:p>
    <w:p w14:paraId="5507B5E0" w14:textId="77777777" w:rsidR="008972DC" w:rsidRPr="007B290F" w:rsidRDefault="008972DC" w:rsidP="008972DC">
      <w:pPr>
        <w:spacing w:line="240" w:lineRule="auto"/>
        <w:rPr>
          <w:rFonts w:ascii="Times New Roman" w:eastAsia="Times New Roman" w:hAnsi="Times New Roman" w:cs="Times New Roman"/>
          <w:lang w:val="en-PH" w:eastAsia="en-PH"/>
        </w:rPr>
      </w:pPr>
    </w:p>
    <w:p w14:paraId="23D9482A" w14:textId="77777777" w:rsidR="008972DC" w:rsidRPr="007B290F" w:rsidRDefault="008972DC" w:rsidP="008972DC">
      <w:pPr>
        <w:spacing w:line="240" w:lineRule="auto"/>
        <w:jc w:val="both"/>
        <w:rPr>
          <w:rFonts w:ascii="Times New Roman" w:eastAsia="Times New Roman" w:hAnsi="Times New Roman" w:cs="Times New Roman"/>
          <w:lang w:val="en-PH" w:eastAsia="en-PH"/>
        </w:rPr>
      </w:pPr>
      <w:r w:rsidRPr="007B290F">
        <w:rPr>
          <w:rFonts w:eastAsia="Times New Roman"/>
          <w:color w:val="000000"/>
          <w:lang w:val="en-PH" w:eastAsia="en-PH"/>
        </w:rPr>
        <w:t xml:space="preserve">Moreover, the program also conducts monitoring and assessment to serve beneficiaries, established projects, and/or organized SLPAs from CY 2017- 2021. </w:t>
      </w:r>
      <w:r w:rsidRPr="007B290F">
        <w:rPr>
          <w:color w:val="000000"/>
        </w:rPr>
        <w:t>Different partnership initiatives and/or engagements are being conducted to link the program beneficiaries towards self-sufficiency and self-governance.</w:t>
      </w:r>
    </w:p>
    <w:p w14:paraId="61B23B69" w14:textId="77777777" w:rsidR="008972DC" w:rsidRPr="007B290F" w:rsidRDefault="008972DC" w:rsidP="008972DC">
      <w:pPr>
        <w:spacing w:before="240" w:after="240"/>
        <w:jc w:val="both"/>
        <w:rPr>
          <w:color w:val="000000" w:themeColor="text1"/>
        </w:rPr>
      </w:pPr>
      <w:r w:rsidRPr="007B290F">
        <w:rPr>
          <w:color w:val="000000" w:themeColor="text1"/>
        </w:rPr>
        <w:t>Furthermore, a total of 944 beneficiaries served under the SLP Regular Portfolio through the provision of LAG of which 733 are female while 211 are identified to be male. Table 1 also shows that the accomplishment rate under this portfolio is 206.56%. This is attributed to in the fact that the P15,000 cost parameter per served beneficiary was not maximized. Grants provided are dependent on the cost of their projects per the assessment of the Field Project Development Officers.</w:t>
      </w:r>
    </w:p>
    <w:p w14:paraId="0D9E2847" w14:textId="77777777" w:rsidR="008972DC" w:rsidRPr="007B290F" w:rsidRDefault="008972DC" w:rsidP="008972DC">
      <w:pPr>
        <w:spacing w:before="240" w:after="240"/>
        <w:jc w:val="both"/>
        <w:rPr>
          <w:color w:val="000000" w:themeColor="text1"/>
        </w:rPr>
      </w:pPr>
      <w:r w:rsidRPr="007B290F">
        <w:rPr>
          <w:color w:val="000000" w:themeColor="text1"/>
        </w:rPr>
        <w:t>For the Balik Probinsya, Bagong Pagasa Program's CY 2022 targets, the KALAHI-CIDDSS program endorsed 598 BP2P eligible families for the provision of Livelihood Settlement Grants (LSG). A total of 558 of the endorsed beneficiaries were familiar with SLP processes and had undergone Micro-enterprise Development training. These were approved for funding totaling P27,823,669.</w:t>
      </w:r>
    </w:p>
    <w:p w14:paraId="077BEC4F" w14:textId="3FF59257" w:rsidR="008972DC" w:rsidRPr="007B290F" w:rsidRDefault="008972DC" w:rsidP="008972DC">
      <w:pPr>
        <w:spacing w:before="240" w:after="240"/>
        <w:jc w:val="both"/>
        <w:rPr>
          <w:color w:val="000000" w:themeColor="text1"/>
        </w:rPr>
      </w:pPr>
      <w:r w:rsidRPr="007B290F">
        <w:rPr>
          <w:color w:val="000000" w:themeColor="text1"/>
        </w:rPr>
        <w:t xml:space="preserve">The program has a total of P223,476,311 financial allocation under subsidies or grants. This includes the CY 2022 Current Allocation amounting to P202,552,335 and CY 2021 Continuing Funds totaling to P20,923,977. </w:t>
      </w:r>
      <w:r w:rsidR="0096085C">
        <w:rPr>
          <w:color w:val="000000" w:themeColor="text1"/>
        </w:rPr>
        <w:t xml:space="preserve"> From the</w:t>
      </w:r>
      <w:r w:rsidRPr="007B290F">
        <w:rPr>
          <w:color w:val="000000" w:themeColor="text1"/>
        </w:rPr>
        <w:t xml:space="preserve"> total current allocation</w:t>
      </w:r>
      <w:r w:rsidR="0096085C">
        <w:rPr>
          <w:color w:val="000000" w:themeColor="text1"/>
        </w:rPr>
        <w:t xml:space="preserve">, </w:t>
      </w:r>
      <w:r w:rsidRPr="007B290F">
        <w:rPr>
          <w:color w:val="000000" w:themeColor="text1"/>
        </w:rPr>
        <w:t xml:space="preserve"> 7.72%</w:t>
      </w:r>
      <w:r w:rsidR="0096085C">
        <w:rPr>
          <w:color w:val="000000" w:themeColor="text1"/>
        </w:rPr>
        <w:t xml:space="preserve"> is</w:t>
      </w:r>
      <w:r w:rsidRPr="007B290F">
        <w:rPr>
          <w:color w:val="000000" w:themeColor="text1"/>
        </w:rPr>
        <w:t xml:space="preserve"> utilized in which the fund under the SLP Regular / LAG is already 100% while the EO 70 fund has a 29.19% accomplishment rate. Fund Utilization is ahead of the given timeline. </w:t>
      </w:r>
    </w:p>
    <w:p w14:paraId="3825553D" w14:textId="77777777" w:rsidR="008972DC" w:rsidRPr="007B290F" w:rsidRDefault="008972DC" w:rsidP="008972DC">
      <w:pPr>
        <w:spacing w:before="240" w:after="240"/>
        <w:jc w:val="both"/>
        <w:rPr>
          <w:color w:val="000000" w:themeColor="text1"/>
        </w:rPr>
      </w:pPr>
      <w:r w:rsidRPr="007B290F">
        <w:rPr>
          <w:color w:val="000000" w:themeColor="text1"/>
        </w:rPr>
        <w:t>On the other hand, the Zero Hunger Fund has no utilization yet because the first semester is plotted as the pre-implementation and social preparation stages. Nevertheless, a total of P3,500,000 project proposals are already submitted for review and assessment.</w:t>
      </w:r>
    </w:p>
    <w:p w14:paraId="0B43C407" w14:textId="77777777" w:rsidR="008972DC" w:rsidRDefault="008972DC" w:rsidP="008972DC">
      <w:pPr>
        <w:spacing w:before="240" w:after="240"/>
        <w:jc w:val="both"/>
        <w:rPr>
          <w:color w:val="000000" w:themeColor="text1"/>
        </w:rPr>
      </w:pPr>
      <w:r>
        <w:rPr>
          <w:color w:val="000000" w:themeColor="text1"/>
        </w:rPr>
        <w:t xml:space="preserve">3. </w:t>
      </w:r>
      <w:r w:rsidRPr="008972DC">
        <w:rPr>
          <w:b/>
          <w:color w:val="000000" w:themeColor="text1"/>
        </w:rPr>
        <w:t>KAPIT-BISIG LABAN SA KAHIRAPAN-COMPREHENSIVE AND INTEGRATED DELIVERY OF SOCIAL SERVICES</w:t>
      </w:r>
      <w:r w:rsidRPr="00B31BC4">
        <w:rPr>
          <w:color w:val="000000" w:themeColor="text1"/>
        </w:rPr>
        <w:t xml:space="preserve"> </w:t>
      </w:r>
      <w:r>
        <w:rPr>
          <w:color w:val="000000" w:themeColor="text1"/>
        </w:rPr>
        <w:t>(KALAHI-CIDDS)</w:t>
      </w:r>
    </w:p>
    <w:p w14:paraId="41C4033B" w14:textId="77777777" w:rsidR="008972DC" w:rsidRDefault="008972DC" w:rsidP="008972DC">
      <w:pPr>
        <w:spacing w:before="240" w:after="240"/>
        <w:jc w:val="both"/>
        <w:rPr>
          <w:color w:val="000000" w:themeColor="text1"/>
        </w:rPr>
      </w:pPr>
      <w:r w:rsidRPr="00B31BC4">
        <w:rPr>
          <w:color w:val="000000" w:themeColor="text1"/>
        </w:rPr>
        <w:t xml:space="preserve">The Kapit-Bisig Laban sa Kahirapan-Comprehensive and Integrated Delivery of Social Services, otherwise known as the Kalahi-CIDSS, is a poverty alleviation program of the Philippine </w:t>
      </w:r>
      <w:r w:rsidRPr="00B31BC4">
        <w:rPr>
          <w:color w:val="000000" w:themeColor="text1"/>
        </w:rPr>
        <w:lastRenderedPageBreak/>
        <w:t>Government implemented by the Department to empower communities in targeted poor and disaster-affected municipalities to achieve improved access to services and participate in more inclusive local planning, budgeting, implementation, and disaster risk reduction and management.</w:t>
      </w:r>
    </w:p>
    <w:p w14:paraId="17BCBB3D" w14:textId="77777777" w:rsidR="00F564DF" w:rsidRDefault="00F564DF" w:rsidP="00F564DF">
      <w:pPr>
        <w:spacing w:before="240" w:after="240"/>
        <w:jc w:val="both"/>
        <w:rPr>
          <w:color w:val="000000" w:themeColor="text1"/>
        </w:rPr>
      </w:pPr>
      <w:r w:rsidRPr="00F564DF">
        <w:rPr>
          <w:color w:val="000000" w:themeColor="text1"/>
        </w:rPr>
        <w:t xml:space="preserve">All modalities were at a standstill during this month due to funding issues and a sudden surge of COVID-19 cases in the Field Office. Staff concentrated on form encoding in the Geotagging Web Application (GWA) and the Program Information Management System (PIMS) (PIMS). During this month, Santo Tomas, Isabela fulfilled their commitment for their Local Counterpart Contribution (LCC), allowing the Area Coordinating Team (ACT) under the National Community Driven Development Program Additional Funding (NCDDP-AF) Modality to proceed with their procurement. Unfortunately, it was also during this month that certain findings on Calayan, Cagayan's procurement procedures were discovered, resulting in </w:t>
      </w:r>
      <w:r>
        <w:rPr>
          <w:color w:val="000000" w:themeColor="text1"/>
        </w:rPr>
        <w:t>revision</w:t>
      </w:r>
      <w:r w:rsidRPr="00F564DF">
        <w:rPr>
          <w:color w:val="000000" w:themeColor="text1"/>
        </w:rPr>
        <w:t xml:space="preserve"> of their procurement process.</w:t>
      </w:r>
    </w:p>
    <w:p w14:paraId="3E67CD9B" w14:textId="3E6B63D4" w:rsidR="00F564DF" w:rsidRPr="00F564DF" w:rsidRDefault="00F564DF" w:rsidP="00F564DF">
      <w:pPr>
        <w:spacing w:before="240" w:after="240"/>
        <w:jc w:val="both"/>
        <w:rPr>
          <w:color w:val="000000" w:themeColor="text1"/>
        </w:rPr>
      </w:pPr>
      <w:r w:rsidRPr="00F564DF">
        <w:rPr>
          <w:color w:val="000000" w:themeColor="text1"/>
        </w:rPr>
        <w:t xml:space="preserve">Despite the major issues, BP2P payouts continued in the various LGUs. In Isabela, 158 BP2P families were served (a total of </w:t>
      </w:r>
      <w:r w:rsidR="002F0F7E">
        <w:rPr>
          <w:color w:val="000000" w:themeColor="text1"/>
        </w:rPr>
        <w:t xml:space="preserve">Php </w:t>
      </w:r>
      <w:r w:rsidRPr="00F564DF">
        <w:rPr>
          <w:color w:val="000000" w:themeColor="text1"/>
        </w:rPr>
        <w:t xml:space="preserve">7,900,000 was released), while 56 families were served in Cagayan (total amount released was </w:t>
      </w:r>
      <w:r w:rsidR="002F0F7E">
        <w:rPr>
          <w:color w:val="000000" w:themeColor="text1"/>
        </w:rPr>
        <w:t xml:space="preserve">Php </w:t>
      </w:r>
      <w:r w:rsidRPr="00F564DF">
        <w:rPr>
          <w:color w:val="000000" w:themeColor="text1"/>
        </w:rPr>
        <w:t>2,800,000). The Transitory Family Support Package was provided to the aforementioned families (TFSP). New LGUs who qualified for the KKB BP2P program were also educated about the program.</w:t>
      </w:r>
    </w:p>
    <w:p w14:paraId="2F4780DC" w14:textId="77777777" w:rsidR="00F564DF" w:rsidRPr="00F564DF" w:rsidRDefault="007B290F" w:rsidP="00F564DF">
      <w:pPr>
        <w:spacing w:before="240" w:after="240"/>
        <w:jc w:val="both"/>
        <w:rPr>
          <w:color w:val="000000" w:themeColor="text1"/>
        </w:rPr>
      </w:pPr>
      <w:r>
        <w:rPr>
          <w:color w:val="000000" w:themeColor="text1"/>
        </w:rPr>
        <w:t>T</w:t>
      </w:r>
      <w:r w:rsidR="00F564DF" w:rsidRPr="00F564DF">
        <w:rPr>
          <w:color w:val="000000" w:themeColor="text1"/>
        </w:rPr>
        <w:t>he Payapa at Masaganang Pamayanan (PAMANA) completed the four remaining SPs, while the National Community Driven Development Program Additional Funding (NCDDP-AF) be</w:t>
      </w:r>
      <w:r w:rsidR="00F564DF">
        <w:rPr>
          <w:color w:val="000000" w:themeColor="text1"/>
        </w:rPr>
        <w:t xml:space="preserve">gan full program implementation. In addition, </w:t>
      </w:r>
      <w:r w:rsidR="00F564DF" w:rsidRPr="00F564DF">
        <w:rPr>
          <w:color w:val="000000" w:themeColor="text1"/>
        </w:rPr>
        <w:t>the Program expanded in the region due to the inclusion of new LGUs under the KKB BP2P continuing funds (three LGUs namely: Santa Teresita, Cagayan; Alicia, Isabela; and Cabarroguis, Quirino) and a new modality under KKB Cash-for-work (CFW) that entailed an additional 11 LGUs.</w:t>
      </w:r>
    </w:p>
    <w:p w14:paraId="652751AF" w14:textId="77777777" w:rsidR="00F564DF" w:rsidRDefault="007B290F" w:rsidP="008972DC">
      <w:pPr>
        <w:spacing w:before="240" w:after="240"/>
        <w:jc w:val="both"/>
        <w:rPr>
          <w:color w:val="000000" w:themeColor="text1"/>
        </w:rPr>
      </w:pPr>
      <w:r>
        <w:rPr>
          <w:color w:val="000000" w:themeColor="text1"/>
        </w:rPr>
        <w:t>KALAHI CIDDS Community Grant</w:t>
      </w:r>
    </w:p>
    <w:tbl>
      <w:tblPr>
        <w:tblStyle w:val="TableGrid"/>
        <w:tblW w:w="0" w:type="auto"/>
        <w:tblLook w:val="04A0" w:firstRow="1" w:lastRow="0" w:firstColumn="1" w:lastColumn="0" w:noHBand="0" w:noVBand="1"/>
      </w:tblPr>
      <w:tblGrid>
        <w:gridCol w:w="1980"/>
        <w:gridCol w:w="2410"/>
        <w:gridCol w:w="4884"/>
      </w:tblGrid>
      <w:tr w:rsidR="007B290F" w14:paraId="6292AC87" w14:textId="77777777" w:rsidTr="00EB278D">
        <w:tc>
          <w:tcPr>
            <w:tcW w:w="1980" w:type="dxa"/>
          </w:tcPr>
          <w:p w14:paraId="307597A4" w14:textId="77777777" w:rsidR="007B290F" w:rsidRDefault="007B290F" w:rsidP="007B290F">
            <w:pPr>
              <w:pStyle w:val="NoSpacing"/>
            </w:pPr>
            <w:r>
              <w:t>Number of Sub Projects</w:t>
            </w:r>
          </w:p>
        </w:tc>
        <w:tc>
          <w:tcPr>
            <w:tcW w:w="2410" w:type="dxa"/>
          </w:tcPr>
          <w:p w14:paraId="2A474C17" w14:textId="77777777" w:rsidR="007B290F" w:rsidRDefault="007B290F" w:rsidP="007B290F">
            <w:pPr>
              <w:pStyle w:val="NoSpacing"/>
            </w:pPr>
            <w:r>
              <w:t>Status</w:t>
            </w:r>
          </w:p>
        </w:tc>
        <w:tc>
          <w:tcPr>
            <w:tcW w:w="4884" w:type="dxa"/>
          </w:tcPr>
          <w:p w14:paraId="0C3EDC36" w14:textId="77777777" w:rsidR="007B290F" w:rsidRDefault="007B290F" w:rsidP="007B290F">
            <w:pPr>
              <w:pStyle w:val="NoSpacing"/>
            </w:pPr>
            <w:r>
              <w:t>Remarks</w:t>
            </w:r>
          </w:p>
        </w:tc>
      </w:tr>
      <w:tr w:rsidR="00EB278D" w14:paraId="2A2FD244" w14:textId="77777777" w:rsidTr="00EB278D">
        <w:tc>
          <w:tcPr>
            <w:tcW w:w="1980" w:type="dxa"/>
          </w:tcPr>
          <w:p w14:paraId="2FF197A0" w14:textId="77777777" w:rsidR="00EB278D" w:rsidRDefault="00EB278D" w:rsidP="007B290F">
            <w:pPr>
              <w:pStyle w:val="NoSpacing"/>
            </w:pPr>
            <w:r>
              <w:t>Cycle 1</w:t>
            </w:r>
          </w:p>
        </w:tc>
        <w:tc>
          <w:tcPr>
            <w:tcW w:w="2410" w:type="dxa"/>
          </w:tcPr>
          <w:p w14:paraId="6252B422" w14:textId="77777777" w:rsidR="00EB278D" w:rsidRDefault="00EB278D" w:rsidP="007B290F">
            <w:pPr>
              <w:pStyle w:val="NoSpacing"/>
            </w:pPr>
          </w:p>
        </w:tc>
        <w:tc>
          <w:tcPr>
            <w:tcW w:w="4884" w:type="dxa"/>
          </w:tcPr>
          <w:p w14:paraId="19D5627B" w14:textId="77777777" w:rsidR="00EB278D" w:rsidRDefault="00EB278D" w:rsidP="007B290F">
            <w:pPr>
              <w:pStyle w:val="NoSpacing"/>
            </w:pPr>
          </w:p>
        </w:tc>
      </w:tr>
      <w:tr w:rsidR="007B290F" w14:paraId="5AF99919" w14:textId="77777777" w:rsidTr="00EB278D">
        <w:tc>
          <w:tcPr>
            <w:tcW w:w="1980" w:type="dxa"/>
          </w:tcPr>
          <w:p w14:paraId="07A23C6B" w14:textId="77777777" w:rsidR="007B290F" w:rsidRDefault="007B290F" w:rsidP="00EB278D">
            <w:pPr>
              <w:pStyle w:val="NoSpacing"/>
            </w:pPr>
            <w:r>
              <w:t xml:space="preserve">10 </w:t>
            </w:r>
            <w:r w:rsidR="00EB278D">
              <w:t>SPs</w:t>
            </w:r>
          </w:p>
        </w:tc>
        <w:tc>
          <w:tcPr>
            <w:tcW w:w="2410" w:type="dxa"/>
          </w:tcPr>
          <w:p w14:paraId="75F493CF" w14:textId="77777777" w:rsidR="007B290F" w:rsidRDefault="007B290F" w:rsidP="007B290F">
            <w:pPr>
              <w:pStyle w:val="NoSpacing"/>
            </w:pPr>
            <w:r>
              <w:t xml:space="preserve">Completed </w:t>
            </w:r>
          </w:p>
        </w:tc>
        <w:tc>
          <w:tcPr>
            <w:tcW w:w="4884" w:type="dxa"/>
          </w:tcPr>
          <w:p w14:paraId="42D75C38" w14:textId="77777777" w:rsidR="007B290F" w:rsidRDefault="00EB278D" w:rsidP="007B290F">
            <w:pPr>
              <w:pStyle w:val="NoSpacing"/>
            </w:pPr>
            <w:r>
              <w:t>(LGU Santo Nino)</w:t>
            </w:r>
          </w:p>
        </w:tc>
      </w:tr>
      <w:tr w:rsidR="007B290F" w14:paraId="37C157F0" w14:textId="77777777" w:rsidTr="00EB278D">
        <w:tc>
          <w:tcPr>
            <w:tcW w:w="1980" w:type="dxa"/>
          </w:tcPr>
          <w:p w14:paraId="34733C3C" w14:textId="77777777" w:rsidR="007B290F" w:rsidRDefault="007B290F" w:rsidP="00EB278D">
            <w:pPr>
              <w:pStyle w:val="NoSpacing"/>
              <w:jc w:val="both"/>
            </w:pPr>
            <w:r>
              <w:t xml:space="preserve">71 </w:t>
            </w:r>
            <w:r w:rsidR="00EB278D">
              <w:t>SPs</w:t>
            </w:r>
          </w:p>
        </w:tc>
        <w:tc>
          <w:tcPr>
            <w:tcW w:w="2410" w:type="dxa"/>
          </w:tcPr>
          <w:p w14:paraId="43DA8FB4" w14:textId="77777777" w:rsidR="007B290F" w:rsidRDefault="007B290F" w:rsidP="00EB278D">
            <w:pPr>
              <w:pStyle w:val="NoSpacing"/>
              <w:jc w:val="both"/>
            </w:pPr>
            <w:r>
              <w:t>Completed  (3 New Accomplishment)</w:t>
            </w:r>
          </w:p>
        </w:tc>
        <w:tc>
          <w:tcPr>
            <w:tcW w:w="4884" w:type="dxa"/>
          </w:tcPr>
          <w:p w14:paraId="32C7D84A" w14:textId="77777777" w:rsidR="007B290F" w:rsidRDefault="007B290F" w:rsidP="00EB278D">
            <w:pPr>
              <w:pStyle w:val="NoSpacing"/>
              <w:jc w:val="both"/>
            </w:pPr>
            <w:r>
              <w:t>Barangay and Municipal Accountability is currently being conducted</w:t>
            </w:r>
            <w:r w:rsidR="00EB278D">
              <w:t>. (LGU Sta. Maria, Sto. Tomas, Calayan)</w:t>
            </w:r>
          </w:p>
        </w:tc>
      </w:tr>
      <w:tr w:rsidR="007B290F" w14:paraId="7540CA13" w14:textId="77777777" w:rsidTr="00EB278D">
        <w:tc>
          <w:tcPr>
            <w:tcW w:w="1980" w:type="dxa"/>
          </w:tcPr>
          <w:p w14:paraId="0F576FDA" w14:textId="77777777" w:rsidR="007B290F" w:rsidRDefault="007B290F" w:rsidP="00EB278D">
            <w:pPr>
              <w:pStyle w:val="NoSpacing"/>
              <w:jc w:val="both"/>
            </w:pPr>
            <w:r>
              <w:t xml:space="preserve">169 </w:t>
            </w:r>
            <w:r w:rsidR="00EB278D">
              <w:t>SPs</w:t>
            </w:r>
          </w:p>
        </w:tc>
        <w:tc>
          <w:tcPr>
            <w:tcW w:w="2410" w:type="dxa"/>
          </w:tcPr>
          <w:p w14:paraId="286AB39F" w14:textId="77777777" w:rsidR="007B290F" w:rsidRDefault="007B290F" w:rsidP="00EB278D">
            <w:pPr>
              <w:pStyle w:val="NoSpacing"/>
              <w:jc w:val="both"/>
            </w:pPr>
            <w:r>
              <w:t>169 (7 New Accomplishments)</w:t>
            </w:r>
          </w:p>
        </w:tc>
        <w:tc>
          <w:tcPr>
            <w:tcW w:w="4884" w:type="dxa"/>
          </w:tcPr>
          <w:p w14:paraId="2079A1CC" w14:textId="77777777" w:rsidR="007B290F" w:rsidRDefault="007B290F" w:rsidP="00EB278D">
            <w:pPr>
              <w:pStyle w:val="NoSpacing"/>
              <w:jc w:val="both"/>
            </w:pPr>
            <w:r>
              <w:t>All SPs under KKb 2021 have been completed last June 29, 2022. Preparations are being made for the conduct of BAR/MAR and project turn-over</w:t>
            </w:r>
            <w:r w:rsidR="00EB278D">
              <w:t>. (LGU Iguig, Aurora, Cabagan, Reina Mercedes, Sta. Maria)</w:t>
            </w:r>
          </w:p>
        </w:tc>
      </w:tr>
      <w:tr w:rsidR="00EB278D" w14:paraId="099E79D8" w14:textId="77777777" w:rsidTr="00EB278D">
        <w:tc>
          <w:tcPr>
            <w:tcW w:w="1980" w:type="dxa"/>
          </w:tcPr>
          <w:p w14:paraId="5195393B" w14:textId="77777777" w:rsidR="00EB278D" w:rsidRDefault="00EB278D" w:rsidP="00EB278D">
            <w:pPr>
              <w:pStyle w:val="NoSpacing"/>
              <w:jc w:val="both"/>
            </w:pPr>
            <w:r>
              <w:t>Cycle 2</w:t>
            </w:r>
          </w:p>
        </w:tc>
        <w:tc>
          <w:tcPr>
            <w:tcW w:w="2410" w:type="dxa"/>
          </w:tcPr>
          <w:p w14:paraId="64C16FDD" w14:textId="77777777" w:rsidR="00EB278D" w:rsidRDefault="00EB278D" w:rsidP="00EB278D">
            <w:pPr>
              <w:pStyle w:val="NoSpacing"/>
              <w:jc w:val="both"/>
            </w:pPr>
          </w:p>
        </w:tc>
        <w:tc>
          <w:tcPr>
            <w:tcW w:w="4884" w:type="dxa"/>
          </w:tcPr>
          <w:p w14:paraId="6BED4C8C" w14:textId="77777777" w:rsidR="00EB278D" w:rsidRDefault="00EB278D" w:rsidP="00EB278D">
            <w:pPr>
              <w:pStyle w:val="NoSpacing"/>
              <w:jc w:val="both"/>
            </w:pPr>
          </w:p>
        </w:tc>
      </w:tr>
      <w:tr w:rsidR="00EB278D" w14:paraId="1DD94922" w14:textId="77777777" w:rsidTr="00EB278D">
        <w:tc>
          <w:tcPr>
            <w:tcW w:w="1980" w:type="dxa"/>
          </w:tcPr>
          <w:p w14:paraId="1FB50500" w14:textId="77777777" w:rsidR="00EB278D" w:rsidRDefault="00EB278D" w:rsidP="00EB278D">
            <w:pPr>
              <w:pStyle w:val="NoSpacing"/>
            </w:pPr>
            <w:r>
              <w:t>6  SPs</w:t>
            </w:r>
          </w:p>
        </w:tc>
        <w:tc>
          <w:tcPr>
            <w:tcW w:w="2410" w:type="dxa"/>
          </w:tcPr>
          <w:p w14:paraId="7E8D86F2" w14:textId="77777777" w:rsidR="00EB278D" w:rsidRDefault="00EB278D" w:rsidP="00EB278D">
            <w:pPr>
              <w:pStyle w:val="NoSpacing"/>
              <w:jc w:val="both"/>
            </w:pPr>
            <w:r>
              <w:t xml:space="preserve">Not Yet Started </w:t>
            </w:r>
          </w:p>
        </w:tc>
        <w:tc>
          <w:tcPr>
            <w:tcW w:w="4884" w:type="dxa"/>
          </w:tcPr>
          <w:p w14:paraId="167EE9BA" w14:textId="77777777" w:rsidR="00EB278D" w:rsidRDefault="00EB278D" w:rsidP="00EB278D">
            <w:pPr>
              <w:pStyle w:val="NoSpacing"/>
              <w:jc w:val="both"/>
            </w:pPr>
            <w:r>
              <w:t>The funds for the first tranche of the SPs have been downloaded last June 27, 2022. Hence, SPs are scheduled to start after procurement activities. (LGU Santo Nino)</w:t>
            </w:r>
          </w:p>
        </w:tc>
      </w:tr>
      <w:tr w:rsidR="00EB278D" w14:paraId="72F7B49F" w14:textId="77777777" w:rsidTr="00EB278D">
        <w:tc>
          <w:tcPr>
            <w:tcW w:w="1980" w:type="dxa"/>
          </w:tcPr>
          <w:p w14:paraId="33D7588C" w14:textId="77777777" w:rsidR="00EB278D" w:rsidRDefault="00EB278D" w:rsidP="00EB278D">
            <w:pPr>
              <w:pStyle w:val="NoSpacing"/>
              <w:jc w:val="both"/>
            </w:pPr>
            <w:r>
              <w:t>71 SPs</w:t>
            </w:r>
          </w:p>
        </w:tc>
        <w:tc>
          <w:tcPr>
            <w:tcW w:w="2410" w:type="dxa"/>
          </w:tcPr>
          <w:p w14:paraId="676CB95D" w14:textId="77777777" w:rsidR="00EB278D" w:rsidRDefault="00EB278D" w:rsidP="00EB278D">
            <w:pPr>
              <w:pStyle w:val="NoSpacing"/>
              <w:jc w:val="both"/>
            </w:pPr>
            <w:r>
              <w:t>65 Ongoing and 2 New Accomplishments</w:t>
            </w:r>
          </w:p>
        </w:tc>
        <w:tc>
          <w:tcPr>
            <w:tcW w:w="4884" w:type="dxa"/>
          </w:tcPr>
          <w:p w14:paraId="51102211" w14:textId="77777777" w:rsidR="00EB278D" w:rsidRDefault="00EB278D" w:rsidP="00EB278D">
            <w:pPr>
              <w:pStyle w:val="NoSpacing"/>
              <w:jc w:val="both"/>
            </w:pPr>
            <w:r>
              <w:t>(LGU Sta. Maria, Sto. Tomas, Calayan)</w:t>
            </w:r>
          </w:p>
        </w:tc>
      </w:tr>
      <w:tr w:rsidR="00EB278D" w14:paraId="1D0B9FE6" w14:textId="77777777" w:rsidTr="00EB278D">
        <w:tc>
          <w:tcPr>
            <w:tcW w:w="1980" w:type="dxa"/>
          </w:tcPr>
          <w:p w14:paraId="23D93EC9" w14:textId="77777777" w:rsidR="00EB278D" w:rsidRDefault="00EB278D" w:rsidP="00EB278D">
            <w:pPr>
              <w:pStyle w:val="NoSpacing"/>
              <w:jc w:val="both"/>
            </w:pPr>
            <w:r>
              <w:t>339 SPs</w:t>
            </w:r>
          </w:p>
        </w:tc>
        <w:tc>
          <w:tcPr>
            <w:tcW w:w="2410" w:type="dxa"/>
          </w:tcPr>
          <w:p w14:paraId="604A64C8" w14:textId="77777777" w:rsidR="00EB278D" w:rsidRDefault="00EB278D" w:rsidP="00EB278D">
            <w:pPr>
              <w:pStyle w:val="NoSpacing"/>
              <w:jc w:val="both"/>
            </w:pPr>
            <w:r>
              <w:t>Not Applicable</w:t>
            </w:r>
          </w:p>
        </w:tc>
        <w:tc>
          <w:tcPr>
            <w:tcW w:w="4884" w:type="dxa"/>
          </w:tcPr>
          <w:p w14:paraId="21093C9A" w14:textId="77777777" w:rsidR="00EB278D" w:rsidRDefault="00EB278D" w:rsidP="00EB278D">
            <w:pPr>
              <w:pStyle w:val="NoSpacing"/>
              <w:jc w:val="both"/>
            </w:pPr>
            <w:r>
              <w:t xml:space="preserve">Just this June 2022, the NPMO has reclassified the 11 Cash for Work LGUs into Regular KKB BP2P Continuing Funds. </w:t>
            </w:r>
          </w:p>
          <w:p w14:paraId="7A66A1A7" w14:textId="77777777" w:rsidR="00EB278D" w:rsidRDefault="00EB278D" w:rsidP="00EB278D">
            <w:pPr>
              <w:pStyle w:val="NoSpacing"/>
              <w:jc w:val="both"/>
            </w:pPr>
          </w:p>
          <w:p w14:paraId="4E548F55" w14:textId="77777777" w:rsidR="00EB278D" w:rsidRDefault="00EB278D" w:rsidP="00EB278D">
            <w:pPr>
              <w:pStyle w:val="NoSpacing"/>
              <w:jc w:val="both"/>
            </w:pPr>
            <w:r>
              <w:lastRenderedPageBreak/>
              <w:t xml:space="preserve">Due to this, no SPs have been identified yet. The number of SPs indicated here is only an estimate and is based on the number of barangays under the 11 barangay. </w:t>
            </w:r>
          </w:p>
        </w:tc>
      </w:tr>
    </w:tbl>
    <w:p w14:paraId="6202033C" w14:textId="77777777" w:rsidR="007B290F" w:rsidRDefault="00EB278D" w:rsidP="008972DC">
      <w:pPr>
        <w:spacing w:before="240" w:after="240"/>
        <w:jc w:val="both"/>
        <w:rPr>
          <w:color w:val="000000" w:themeColor="text1"/>
        </w:rPr>
      </w:pPr>
      <w:r>
        <w:rPr>
          <w:color w:val="000000" w:themeColor="text1"/>
        </w:rPr>
        <w:lastRenderedPageBreak/>
        <w:t xml:space="preserve">Other Accomplishments: </w:t>
      </w:r>
    </w:p>
    <w:p w14:paraId="0242F5FC" w14:textId="77777777" w:rsidR="00EB278D" w:rsidRPr="00EB278D" w:rsidRDefault="00EB278D" w:rsidP="00516AD6">
      <w:pPr>
        <w:pStyle w:val="ListParagraph"/>
        <w:numPr>
          <w:ilvl w:val="0"/>
          <w:numId w:val="74"/>
        </w:numPr>
        <w:spacing w:before="240" w:after="240"/>
        <w:jc w:val="both"/>
        <w:rPr>
          <w:color w:val="000000" w:themeColor="text1"/>
        </w:rPr>
      </w:pPr>
      <w:r w:rsidRPr="00EB278D">
        <w:rPr>
          <w:color w:val="000000" w:themeColor="text1"/>
        </w:rPr>
        <w:t xml:space="preserve">Conducted the Municipal Orientation for the KKB BP2P 2021 Continuing LGUs on 27 June 2022. </w:t>
      </w:r>
    </w:p>
    <w:p w14:paraId="5DE36836" w14:textId="77777777" w:rsidR="00EB278D" w:rsidRDefault="00EB278D" w:rsidP="00516AD6">
      <w:pPr>
        <w:pStyle w:val="ListParagraph"/>
        <w:numPr>
          <w:ilvl w:val="0"/>
          <w:numId w:val="74"/>
        </w:numPr>
        <w:spacing w:before="240" w:after="240"/>
        <w:jc w:val="both"/>
        <w:rPr>
          <w:color w:val="000000" w:themeColor="text1"/>
        </w:rPr>
      </w:pPr>
      <w:r>
        <w:rPr>
          <w:color w:val="000000" w:themeColor="text1"/>
        </w:rPr>
        <w:t xml:space="preserve">Conducted the M&amp;E Training on Tools and the Sustainable Evaluation Tools in two batches. </w:t>
      </w:r>
    </w:p>
    <w:p w14:paraId="7821CB23" w14:textId="77777777" w:rsidR="00EB278D" w:rsidRDefault="00EB278D" w:rsidP="00516AD6">
      <w:pPr>
        <w:pStyle w:val="ListParagraph"/>
        <w:numPr>
          <w:ilvl w:val="0"/>
          <w:numId w:val="74"/>
        </w:numPr>
        <w:spacing w:before="240" w:after="240"/>
        <w:jc w:val="both"/>
        <w:rPr>
          <w:color w:val="000000" w:themeColor="text1"/>
        </w:rPr>
      </w:pPr>
      <w:r>
        <w:rPr>
          <w:color w:val="000000" w:themeColor="text1"/>
        </w:rPr>
        <w:t xml:space="preserve">Out of the 514 physical targets of KKB BP2P, the program served 449 or 87.35% provided with a Transitory Family Support Package to 449 families and Livelihood Settlement Grant to 213 families amounting Php 30,750,000. </w:t>
      </w:r>
    </w:p>
    <w:p w14:paraId="437B07A8" w14:textId="77777777" w:rsidR="00EB278D" w:rsidRPr="00EB278D" w:rsidRDefault="00EB278D" w:rsidP="00EB278D">
      <w:pPr>
        <w:pStyle w:val="ListParagraph"/>
        <w:spacing w:before="240" w:after="240"/>
        <w:jc w:val="both"/>
        <w:rPr>
          <w:color w:val="000000" w:themeColor="text1"/>
        </w:rPr>
      </w:pPr>
    </w:p>
    <w:p w14:paraId="61E1A14E" w14:textId="77777777" w:rsidR="008972DC" w:rsidRDefault="008972DC" w:rsidP="008972DC">
      <w:pPr>
        <w:pStyle w:val="NormalWeb"/>
        <w:spacing w:before="0" w:beforeAutospacing="0" w:after="0" w:afterAutospacing="0"/>
        <w:rPr>
          <w:rFonts w:ascii="Arial" w:hAnsi="Arial" w:cs="Arial"/>
          <w:b/>
          <w:bCs/>
          <w:color w:val="000000"/>
        </w:rPr>
      </w:pPr>
      <w:r>
        <w:rPr>
          <w:color w:val="000000" w:themeColor="text1"/>
        </w:rPr>
        <w:t xml:space="preserve">4. </w:t>
      </w:r>
      <w:r w:rsidRPr="008972DC">
        <w:rPr>
          <w:rFonts w:ascii="Arial" w:hAnsi="Arial" w:cs="Arial"/>
          <w:b/>
          <w:bCs/>
          <w:color w:val="000000"/>
        </w:rPr>
        <w:t>ENHANCED PARTNERSHIP AGAINST HUNGER AND POVERTY (EPAHP)</w:t>
      </w:r>
    </w:p>
    <w:p w14:paraId="27F60F0B" w14:textId="77777777" w:rsidR="008972DC" w:rsidRDefault="008972DC" w:rsidP="008972DC">
      <w:pPr>
        <w:pStyle w:val="NormalWeb"/>
        <w:spacing w:before="0" w:beforeAutospacing="0" w:after="0" w:afterAutospacing="0"/>
        <w:rPr>
          <w:rFonts w:ascii="Arial" w:hAnsi="Arial" w:cs="Arial"/>
          <w:b/>
          <w:bCs/>
          <w:color w:val="000000"/>
        </w:rPr>
      </w:pPr>
    </w:p>
    <w:p w14:paraId="25ABED71" w14:textId="77777777" w:rsidR="008972DC" w:rsidRPr="008972DC" w:rsidRDefault="008972DC" w:rsidP="008972DC">
      <w:pPr>
        <w:pStyle w:val="NormalWeb"/>
        <w:spacing w:before="0" w:beforeAutospacing="0" w:after="0" w:afterAutospacing="0"/>
        <w:jc w:val="both"/>
      </w:pPr>
      <w:r w:rsidRPr="008972DC">
        <w:rPr>
          <w:rFonts w:ascii="Arial" w:hAnsi="Arial" w:cs="Arial"/>
          <w:bCs/>
          <w:color w:val="000000"/>
        </w:rPr>
        <w:t>EPAHP Program is a convergence program that was launched 10 months ago in Region 02 with its goal to end poverty, mitigate hunger, and improve nutrition in the urban as well as rural communities including marginalized communities. In the second quarter of 2022, the Program focused on meetings, workshops, and orientations to strengthen the partnership between and among implementers of EPAHP.</w:t>
      </w:r>
    </w:p>
    <w:p w14:paraId="4FC0D6BA" w14:textId="77777777" w:rsidR="007364D3" w:rsidRDefault="007364D3" w:rsidP="007364D3">
      <w:pPr>
        <w:spacing w:before="240" w:after="240"/>
        <w:jc w:val="both"/>
        <w:rPr>
          <w:color w:val="000000" w:themeColor="text1"/>
        </w:rPr>
      </w:pPr>
      <w:r w:rsidRPr="007364D3">
        <w:rPr>
          <w:color w:val="000000" w:themeColor="text1"/>
        </w:rPr>
        <w:t xml:space="preserve">The </w:t>
      </w:r>
      <w:r>
        <w:rPr>
          <w:color w:val="000000" w:themeColor="text1"/>
        </w:rPr>
        <w:t xml:space="preserve">EPHAP </w:t>
      </w:r>
      <w:r w:rsidRPr="007364D3">
        <w:rPr>
          <w:color w:val="000000" w:themeColor="text1"/>
        </w:rPr>
        <w:t>Regional Project Management Office carried out the following tasks</w:t>
      </w:r>
      <w:r>
        <w:rPr>
          <w:color w:val="000000" w:themeColor="text1"/>
        </w:rPr>
        <w:t xml:space="preserve"> and activities</w:t>
      </w:r>
      <w:r w:rsidRPr="007364D3">
        <w:rPr>
          <w:color w:val="000000" w:themeColor="text1"/>
        </w:rPr>
        <w:t>:</w:t>
      </w:r>
    </w:p>
    <w:p w14:paraId="33FA6CC5" w14:textId="77777777" w:rsidR="007364D3" w:rsidRPr="007364D3" w:rsidRDefault="007364D3" w:rsidP="00516AD6">
      <w:pPr>
        <w:pStyle w:val="ListParagraph"/>
        <w:numPr>
          <w:ilvl w:val="0"/>
          <w:numId w:val="4"/>
        </w:numPr>
        <w:spacing w:before="240" w:after="240"/>
        <w:jc w:val="both"/>
        <w:rPr>
          <w:color w:val="000000" w:themeColor="text1"/>
        </w:rPr>
      </w:pPr>
      <w:r w:rsidRPr="007364D3">
        <w:rPr>
          <w:color w:val="000000"/>
        </w:rPr>
        <w:t xml:space="preserve">RPMO KAPETA/ Staff Meeting at RPM Office </w:t>
      </w:r>
    </w:p>
    <w:p w14:paraId="292B9B2F" w14:textId="77777777" w:rsidR="007364D3" w:rsidRPr="007364D3" w:rsidRDefault="007364D3" w:rsidP="00516AD6">
      <w:pPr>
        <w:pStyle w:val="ListParagraph"/>
        <w:numPr>
          <w:ilvl w:val="0"/>
          <w:numId w:val="4"/>
        </w:numPr>
        <w:spacing w:before="240" w:after="240"/>
        <w:jc w:val="both"/>
        <w:rPr>
          <w:color w:val="000000" w:themeColor="text1"/>
        </w:rPr>
      </w:pPr>
      <w:r>
        <w:rPr>
          <w:color w:val="000000"/>
        </w:rPr>
        <w:t>2nd RCT Meeting and Planning Workshop re Program Convergence Budgeting at Carmelita Hotel Tuguegarao City</w:t>
      </w:r>
    </w:p>
    <w:p w14:paraId="08ED16D8" w14:textId="77777777" w:rsidR="007364D3" w:rsidRPr="007364D3" w:rsidRDefault="007364D3" w:rsidP="00516AD6">
      <w:pPr>
        <w:pStyle w:val="ListParagraph"/>
        <w:numPr>
          <w:ilvl w:val="0"/>
          <w:numId w:val="4"/>
        </w:numPr>
        <w:spacing w:before="240" w:after="240"/>
        <w:jc w:val="both"/>
        <w:rPr>
          <w:color w:val="000000" w:themeColor="text1"/>
        </w:rPr>
      </w:pPr>
      <w:r>
        <w:rPr>
          <w:color w:val="000000"/>
        </w:rPr>
        <w:t>EPAHP RPMO attended the orientation on the Community Participation Procurement Manual thru a virtual conducted by NPMO</w:t>
      </w:r>
    </w:p>
    <w:p w14:paraId="0A921BDD" w14:textId="77777777" w:rsidR="007364D3" w:rsidRPr="007364D3" w:rsidRDefault="007364D3" w:rsidP="00516AD6">
      <w:pPr>
        <w:pStyle w:val="ListParagraph"/>
        <w:numPr>
          <w:ilvl w:val="0"/>
          <w:numId w:val="4"/>
        </w:numPr>
        <w:spacing w:before="240" w:after="240"/>
        <w:jc w:val="both"/>
        <w:rPr>
          <w:color w:val="000000" w:themeColor="text1"/>
        </w:rPr>
      </w:pPr>
      <w:r>
        <w:rPr>
          <w:color w:val="000000"/>
        </w:rPr>
        <w:t>The signing of the Marketing Agreement between DSWD Centers and DA Region 02 Multi-Purpose Cooperative at DSWD Operations Center</w:t>
      </w:r>
    </w:p>
    <w:p w14:paraId="22439406" w14:textId="77777777" w:rsidR="007364D3" w:rsidRPr="007364D3" w:rsidRDefault="007364D3" w:rsidP="00516AD6">
      <w:pPr>
        <w:pStyle w:val="ListParagraph"/>
        <w:numPr>
          <w:ilvl w:val="0"/>
          <w:numId w:val="4"/>
        </w:numPr>
        <w:spacing w:before="240" w:after="240"/>
        <w:jc w:val="both"/>
        <w:rPr>
          <w:color w:val="000000" w:themeColor="text1"/>
        </w:rPr>
      </w:pPr>
      <w:r>
        <w:rPr>
          <w:color w:val="000000"/>
        </w:rPr>
        <w:t>Partnership Sustainability and Capacity Building cum 4th RCT Meeting in Sta Ana, Cagayan</w:t>
      </w:r>
    </w:p>
    <w:p w14:paraId="15928080" w14:textId="77777777" w:rsidR="007364D3" w:rsidRPr="007364D3" w:rsidRDefault="007364D3" w:rsidP="00516AD6">
      <w:pPr>
        <w:pStyle w:val="ListParagraph"/>
        <w:numPr>
          <w:ilvl w:val="0"/>
          <w:numId w:val="4"/>
        </w:numPr>
        <w:spacing w:before="240" w:after="240"/>
        <w:jc w:val="both"/>
        <w:rPr>
          <w:color w:val="000000" w:themeColor="text1"/>
        </w:rPr>
      </w:pPr>
      <w:r>
        <w:rPr>
          <w:color w:val="000000"/>
        </w:rPr>
        <w:t>Regional Strategic Partnership Orientation and Meeting with NGAs and LGUs at Hotel Carmelita Tuguegarao City</w:t>
      </w:r>
    </w:p>
    <w:p w14:paraId="30586B91" w14:textId="77777777" w:rsidR="007364D3" w:rsidRPr="007364D3" w:rsidRDefault="007364D3" w:rsidP="00516AD6">
      <w:pPr>
        <w:pStyle w:val="ListParagraph"/>
        <w:numPr>
          <w:ilvl w:val="0"/>
          <w:numId w:val="4"/>
        </w:numPr>
        <w:spacing w:before="240" w:after="240"/>
        <w:jc w:val="both"/>
        <w:rPr>
          <w:color w:val="000000" w:themeColor="text1"/>
        </w:rPr>
      </w:pPr>
      <w:r>
        <w:rPr>
          <w:color w:val="000000"/>
        </w:rPr>
        <w:t xml:space="preserve">Learning Development Intervention (LDI) for Effective Presentation of Reports and Technical Writing in Boracay Island, Aklan. </w:t>
      </w:r>
    </w:p>
    <w:p w14:paraId="4B2374F0" w14:textId="77777777" w:rsidR="007364D3" w:rsidRPr="007364D3" w:rsidRDefault="007364D3" w:rsidP="00516AD6">
      <w:pPr>
        <w:pStyle w:val="ListParagraph"/>
        <w:numPr>
          <w:ilvl w:val="0"/>
          <w:numId w:val="4"/>
        </w:numPr>
        <w:spacing w:before="240" w:after="240"/>
        <w:jc w:val="both"/>
        <w:rPr>
          <w:color w:val="000000" w:themeColor="text1"/>
        </w:rPr>
      </w:pPr>
      <w:r>
        <w:rPr>
          <w:color w:val="000000"/>
        </w:rPr>
        <w:t xml:space="preserve">Consultation on the Drafting of Standard Marketing Agreement with Legal Officers, CBOs, and agency partners at Villablanca Hotel Tuguegarao City. </w:t>
      </w:r>
    </w:p>
    <w:p w14:paraId="2A49FE2B" w14:textId="77777777" w:rsidR="007364D3" w:rsidRPr="007364D3" w:rsidRDefault="007364D3" w:rsidP="00516AD6">
      <w:pPr>
        <w:pStyle w:val="ListParagraph"/>
        <w:numPr>
          <w:ilvl w:val="0"/>
          <w:numId w:val="4"/>
        </w:numPr>
        <w:spacing w:before="240" w:after="240"/>
        <w:jc w:val="both"/>
        <w:rPr>
          <w:color w:val="000000" w:themeColor="text1"/>
        </w:rPr>
      </w:pPr>
      <w:r>
        <w:rPr>
          <w:color w:val="000000"/>
        </w:rPr>
        <w:t>Community Participation Procurement Manual (CPPM) Orientation with NGAs, LGUs, and CBOs.</w:t>
      </w:r>
    </w:p>
    <w:p w14:paraId="73A88F6F" w14:textId="77777777" w:rsidR="007364D3" w:rsidRDefault="007364D3" w:rsidP="00516AD6">
      <w:pPr>
        <w:pStyle w:val="ListParagraph"/>
        <w:numPr>
          <w:ilvl w:val="0"/>
          <w:numId w:val="4"/>
        </w:numPr>
        <w:spacing w:before="240" w:after="240"/>
        <w:jc w:val="both"/>
        <w:rPr>
          <w:color w:val="000000" w:themeColor="text1"/>
        </w:rPr>
      </w:pPr>
      <w:r w:rsidRPr="007364D3">
        <w:rPr>
          <w:color w:val="000000" w:themeColor="text1"/>
        </w:rPr>
        <w:t>Radio guesting at Radyo Pilipinas by RPC Beneracion F. Cristobal to present and discuss the EPAHP Program; to create awareness and advocacy, and to discuss future engagement with Radyo Pilipinas.</w:t>
      </w:r>
    </w:p>
    <w:p w14:paraId="24939108" w14:textId="77777777" w:rsidR="007364D3" w:rsidRPr="007364D3" w:rsidRDefault="007364D3" w:rsidP="00516AD6">
      <w:pPr>
        <w:pStyle w:val="ListParagraph"/>
        <w:numPr>
          <w:ilvl w:val="0"/>
          <w:numId w:val="4"/>
        </w:numPr>
        <w:spacing w:before="240" w:after="240"/>
        <w:jc w:val="both"/>
        <w:rPr>
          <w:color w:val="000000" w:themeColor="text1"/>
        </w:rPr>
      </w:pPr>
      <w:r>
        <w:rPr>
          <w:color w:val="000000"/>
        </w:rPr>
        <w:t>Regional Strategic Partnership Orientation and Exploratory Meeting with Philippine Information Agency (PIA) to discuss details of the EPAHP Program and future partnership.</w:t>
      </w:r>
    </w:p>
    <w:p w14:paraId="4C2FB58D" w14:textId="77777777" w:rsidR="007364D3" w:rsidRPr="007364D3" w:rsidRDefault="007364D3" w:rsidP="00516AD6">
      <w:pPr>
        <w:pStyle w:val="ListParagraph"/>
        <w:numPr>
          <w:ilvl w:val="0"/>
          <w:numId w:val="4"/>
        </w:numPr>
        <w:spacing w:before="240" w:after="240"/>
        <w:jc w:val="both"/>
        <w:rPr>
          <w:color w:val="000000" w:themeColor="text1"/>
        </w:rPr>
      </w:pPr>
      <w:r>
        <w:rPr>
          <w:color w:val="000000"/>
        </w:rPr>
        <w:lastRenderedPageBreak/>
        <w:t>Partnership Meeting with the Bureau of Jail Management and Penology (BJMP) to discuss demand requirements of the 18 jail facilities and potential CBOs to be linked with them.</w:t>
      </w:r>
    </w:p>
    <w:p w14:paraId="5D54AD4D" w14:textId="77777777" w:rsidR="007364D3" w:rsidRPr="007364D3" w:rsidRDefault="007364D3" w:rsidP="00516AD6">
      <w:pPr>
        <w:pStyle w:val="ListParagraph"/>
        <w:numPr>
          <w:ilvl w:val="0"/>
          <w:numId w:val="4"/>
        </w:numPr>
        <w:spacing w:before="240" w:after="240"/>
        <w:jc w:val="both"/>
        <w:rPr>
          <w:color w:val="000000" w:themeColor="text1"/>
        </w:rPr>
      </w:pPr>
      <w:r>
        <w:rPr>
          <w:color w:val="000000"/>
        </w:rPr>
        <w:t xml:space="preserve">Virtual Orientation on Data Privacy Act with DICT and Licensing Technology Adopters with DOST as resource speakers. </w:t>
      </w:r>
    </w:p>
    <w:p w14:paraId="14893CF7" w14:textId="77777777" w:rsidR="007364D3" w:rsidRPr="007364D3" w:rsidRDefault="007364D3" w:rsidP="00516AD6">
      <w:pPr>
        <w:pStyle w:val="ListParagraph"/>
        <w:numPr>
          <w:ilvl w:val="0"/>
          <w:numId w:val="4"/>
        </w:numPr>
        <w:spacing w:before="240" w:after="240"/>
        <w:jc w:val="both"/>
        <w:rPr>
          <w:color w:val="000000" w:themeColor="text1"/>
        </w:rPr>
      </w:pPr>
      <w:r>
        <w:rPr>
          <w:color w:val="000000"/>
        </w:rPr>
        <w:t xml:space="preserve">Visited Isabela Provincial Capitol to discuss details of the LGU-Centered Perspectives and Approaches on Zero Hunger - Symposium and Caravan with Provinces of Isabela, Quirino, and Nueva Vizcaya. </w:t>
      </w:r>
    </w:p>
    <w:p w14:paraId="6FF488F9" w14:textId="77777777" w:rsidR="00EA02E8" w:rsidRPr="00F564DF" w:rsidRDefault="007364D3" w:rsidP="00516AD6">
      <w:pPr>
        <w:pStyle w:val="ListParagraph"/>
        <w:numPr>
          <w:ilvl w:val="0"/>
          <w:numId w:val="4"/>
        </w:numPr>
        <w:spacing w:before="240" w:after="240"/>
        <w:jc w:val="both"/>
        <w:rPr>
          <w:color w:val="000000" w:themeColor="text1"/>
        </w:rPr>
      </w:pPr>
      <w:r>
        <w:rPr>
          <w:color w:val="000000"/>
        </w:rPr>
        <w:t xml:space="preserve">Exploring LGU-Centered Perspectives and Approaches </w:t>
      </w:r>
      <w:r w:rsidR="004926FB">
        <w:rPr>
          <w:color w:val="000000"/>
        </w:rPr>
        <w:t>to</w:t>
      </w:r>
      <w:r>
        <w:rPr>
          <w:color w:val="000000"/>
        </w:rPr>
        <w:t xml:space="preserve"> Zero Hunger – Symposium and Caravan at Ilagan, Isabela and City of Tuguegarao., Cagayan. </w:t>
      </w:r>
    </w:p>
    <w:p w14:paraId="1337AFF9" w14:textId="77777777" w:rsidR="00EA02E8" w:rsidRDefault="00EA02E8"/>
    <w:p w14:paraId="5A668C24" w14:textId="77777777" w:rsidR="004B4CDE" w:rsidRPr="004926FB" w:rsidRDefault="004B4CDE" w:rsidP="004926FB">
      <w:pPr>
        <w:jc w:val="both"/>
        <w:rPr>
          <w:b/>
        </w:rPr>
      </w:pPr>
      <w:r w:rsidRPr="004926FB">
        <w:rPr>
          <w:b/>
        </w:rPr>
        <w:t>OO 2 – RIGHTS OF THE POOR AND THE VULNERABLE SECTORS PROMOTED AND PROTECTED</w:t>
      </w:r>
    </w:p>
    <w:p w14:paraId="2B1B331F" w14:textId="77777777" w:rsidR="00F564DF" w:rsidRDefault="00F564DF"/>
    <w:p w14:paraId="4D84F145" w14:textId="4110C64D" w:rsidR="00F564DF" w:rsidRDefault="00F564DF" w:rsidP="00F564DF">
      <w:pPr>
        <w:pStyle w:val="NoSpacing"/>
        <w:jc w:val="both"/>
      </w:pPr>
      <w:r>
        <w:t xml:space="preserve">Organization </w:t>
      </w:r>
      <w:r w:rsidR="004926FB">
        <w:t>O</w:t>
      </w:r>
      <w:r w:rsidR="004926FB" w:rsidRPr="00B31BC4">
        <w:t xml:space="preserve">utcome </w:t>
      </w:r>
      <w:r w:rsidR="004926FB">
        <w:t xml:space="preserve">2 </w:t>
      </w:r>
      <w:r w:rsidRPr="00B31BC4">
        <w:t xml:space="preserve">refers to the results of the </w:t>
      </w:r>
      <w:r w:rsidR="002F0F7E">
        <w:t>d</w:t>
      </w:r>
      <w:r w:rsidRPr="00B31BC4">
        <w:t>epartment’s protective programs and services provided to vulnerable and disadvantaged sectors in residential and non-residential facilities and community-based settings. The protective programs s</w:t>
      </w:r>
      <w:r>
        <w:t xml:space="preserve">erve the DSWD’s primary clients of </w:t>
      </w:r>
      <w:r w:rsidRPr="00B31BC4">
        <w:t>the poor and vuln</w:t>
      </w:r>
      <w:r>
        <w:t xml:space="preserve">erable groups and communities </w:t>
      </w:r>
      <w:r w:rsidRPr="00B31BC4">
        <w:t>so that they are provided with the necessary safety nets and safeguards against social exclusion and further impoverishment and are given the opportunities to improve their resiliency and welfare.</w:t>
      </w:r>
    </w:p>
    <w:p w14:paraId="0028C913" w14:textId="77777777" w:rsidR="00221F07" w:rsidRDefault="00221F07" w:rsidP="00F564DF">
      <w:pPr>
        <w:pStyle w:val="NoSpacing"/>
        <w:jc w:val="both"/>
      </w:pPr>
    </w:p>
    <w:p w14:paraId="37B68BAF" w14:textId="77777777" w:rsidR="00221F07" w:rsidRPr="00221F07" w:rsidRDefault="00221F07" w:rsidP="00F564DF">
      <w:pPr>
        <w:pStyle w:val="NoSpacing"/>
        <w:jc w:val="both"/>
        <w:rPr>
          <w:b/>
        </w:rPr>
      </w:pPr>
      <w:r w:rsidRPr="00221F07">
        <w:rPr>
          <w:b/>
        </w:rPr>
        <w:t>A. Center-Based Services</w:t>
      </w:r>
    </w:p>
    <w:p w14:paraId="711991BD" w14:textId="77777777" w:rsidR="004926FB" w:rsidRDefault="004926FB" w:rsidP="00F564DF">
      <w:pPr>
        <w:pStyle w:val="NoSpacing"/>
        <w:jc w:val="both"/>
      </w:pPr>
    </w:p>
    <w:p w14:paraId="7CF8EDBA" w14:textId="3B944693" w:rsidR="004926FB" w:rsidRPr="004926FB" w:rsidRDefault="00DB048D" w:rsidP="00DB048D">
      <w:pPr>
        <w:spacing w:line="240" w:lineRule="auto"/>
        <w:jc w:val="both"/>
      </w:pPr>
      <w:r w:rsidRPr="00DB048D">
        <w:t xml:space="preserve">The </w:t>
      </w:r>
      <w:r>
        <w:t>Centers and Residential Care Facilities</w:t>
      </w:r>
      <w:r w:rsidRPr="00DB048D">
        <w:t xml:space="preserve"> </w:t>
      </w:r>
      <w:r>
        <w:t xml:space="preserve">(CRCF) </w:t>
      </w:r>
      <w:r w:rsidRPr="00DB048D">
        <w:t>are mandated to protect and rehabilitate abandoned, neglected, or abused children, women, youth, people with disabilities, seniors citizens, individuals and families in crisis.  In fiscal year 2022, the target number of clients for residential care facilities exceeded its target of 30%, with a total of 65 residents or 61.32 percent rehabilitation rate out of 106 served residents.</w:t>
      </w:r>
    </w:p>
    <w:tbl>
      <w:tblPr>
        <w:tblStyle w:val="TableGrid1"/>
        <w:tblW w:w="0" w:type="auto"/>
        <w:tblInd w:w="-147" w:type="dxa"/>
        <w:tblLook w:val="04A0" w:firstRow="1" w:lastRow="0" w:firstColumn="1" w:lastColumn="0" w:noHBand="0" w:noVBand="1"/>
      </w:tblPr>
      <w:tblGrid>
        <w:gridCol w:w="3192"/>
        <w:gridCol w:w="988"/>
        <w:gridCol w:w="990"/>
        <w:gridCol w:w="963"/>
        <w:gridCol w:w="1598"/>
        <w:gridCol w:w="1690"/>
      </w:tblGrid>
      <w:tr w:rsidR="004926FB" w:rsidRPr="004926FB" w14:paraId="1A1CC0BA" w14:textId="77777777" w:rsidTr="004926FB">
        <w:trPr>
          <w:trHeight w:val="70"/>
        </w:trPr>
        <w:tc>
          <w:tcPr>
            <w:tcW w:w="3261" w:type="dxa"/>
          </w:tcPr>
          <w:p w14:paraId="74C4F253" w14:textId="77777777" w:rsidR="004926FB" w:rsidRPr="004926FB" w:rsidRDefault="004926FB" w:rsidP="004926FB">
            <w:pPr>
              <w:spacing w:line="240" w:lineRule="auto"/>
              <w:jc w:val="center"/>
              <w:rPr>
                <w:rFonts w:eastAsia="Calibri"/>
                <w:b/>
                <w:lang w:val="en-US" w:eastAsia="en-US"/>
              </w:rPr>
            </w:pPr>
            <w:r w:rsidRPr="004926FB">
              <w:rPr>
                <w:rFonts w:eastAsia="Calibri"/>
                <w:b/>
                <w:lang w:val="en-US" w:eastAsia="en-US"/>
              </w:rPr>
              <w:t>Name of CRCF</w:t>
            </w:r>
          </w:p>
        </w:tc>
        <w:tc>
          <w:tcPr>
            <w:tcW w:w="992" w:type="dxa"/>
          </w:tcPr>
          <w:p w14:paraId="429160CC" w14:textId="77777777" w:rsidR="004926FB" w:rsidRPr="004926FB" w:rsidRDefault="004926FB" w:rsidP="004926FB">
            <w:pPr>
              <w:spacing w:line="240" w:lineRule="auto"/>
              <w:jc w:val="center"/>
              <w:rPr>
                <w:rFonts w:eastAsia="Calibri"/>
                <w:b/>
                <w:lang w:val="en-US" w:eastAsia="en-US"/>
              </w:rPr>
            </w:pPr>
            <w:r w:rsidRPr="004926FB">
              <w:rPr>
                <w:rFonts w:eastAsia="Calibri"/>
                <w:b/>
                <w:lang w:val="en-US" w:eastAsia="en-US"/>
              </w:rPr>
              <w:t>Target</w:t>
            </w:r>
          </w:p>
        </w:tc>
        <w:tc>
          <w:tcPr>
            <w:tcW w:w="992" w:type="dxa"/>
          </w:tcPr>
          <w:p w14:paraId="5E3B5BAF" w14:textId="77777777" w:rsidR="004926FB" w:rsidRPr="004926FB" w:rsidRDefault="004926FB" w:rsidP="004926FB">
            <w:pPr>
              <w:spacing w:line="240" w:lineRule="auto"/>
              <w:jc w:val="center"/>
              <w:rPr>
                <w:rFonts w:eastAsia="Calibri"/>
                <w:b/>
                <w:lang w:val="en-US" w:eastAsia="en-US"/>
              </w:rPr>
            </w:pPr>
            <w:r w:rsidRPr="004926FB">
              <w:rPr>
                <w:rFonts w:eastAsia="Calibri"/>
                <w:b/>
                <w:lang w:val="en-US" w:eastAsia="en-US"/>
              </w:rPr>
              <w:t>Served</w:t>
            </w:r>
          </w:p>
        </w:tc>
        <w:tc>
          <w:tcPr>
            <w:tcW w:w="963" w:type="dxa"/>
          </w:tcPr>
          <w:p w14:paraId="26391FCB" w14:textId="77777777" w:rsidR="004926FB" w:rsidRPr="004926FB" w:rsidRDefault="004926FB" w:rsidP="004926FB">
            <w:pPr>
              <w:spacing w:line="240" w:lineRule="auto"/>
              <w:jc w:val="center"/>
              <w:rPr>
                <w:rFonts w:eastAsia="Calibri"/>
                <w:b/>
                <w:lang w:val="en-US" w:eastAsia="en-US"/>
              </w:rPr>
            </w:pPr>
            <w:r>
              <w:rPr>
                <w:rFonts w:eastAsia="Calibri"/>
                <w:b/>
                <w:lang w:val="en-US" w:eastAsia="en-US"/>
              </w:rPr>
              <w:t>%</w:t>
            </w:r>
          </w:p>
        </w:tc>
        <w:tc>
          <w:tcPr>
            <w:tcW w:w="1598" w:type="dxa"/>
          </w:tcPr>
          <w:p w14:paraId="788572B4" w14:textId="77777777" w:rsidR="004926FB" w:rsidRPr="004926FB" w:rsidRDefault="004926FB" w:rsidP="004926FB">
            <w:pPr>
              <w:spacing w:line="240" w:lineRule="auto"/>
              <w:jc w:val="center"/>
              <w:rPr>
                <w:rFonts w:eastAsia="Calibri"/>
                <w:b/>
                <w:lang w:val="en-US" w:eastAsia="en-US"/>
              </w:rPr>
            </w:pPr>
            <w:r w:rsidRPr="004926FB">
              <w:rPr>
                <w:rFonts w:eastAsia="Calibri"/>
                <w:b/>
                <w:lang w:val="en-US" w:eastAsia="en-US"/>
              </w:rPr>
              <w:t>No. of Rehabilitated Resident</w:t>
            </w:r>
          </w:p>
        </w:tc>
        <w:tc>
          <w:tcPr>
            <w:tcW w:w="1691" w:type="dxa"/>
          </w:tcPr>
          <w:p w14:paraId="328E59EE" w14:textId="77777777" w:rsidR="004926FB" w:rsidRPr="004926FB" w:rsidRDefault="004926FB" w:rsidP="004926FB">
            <w:pPr>
              <w:spacing w:line="240" w:lineRule="auto"/>
              <w:jc w:val="center"/>
              <w:rPr>
                <w:rFonts w:eastAsia="Calibri"/>
                <w:b/>
                <w:lang w:val="en-US" w:eastAsia="en-US"/>
              </w:rPr>
            </w:pPr>
            <w:r w:rsidRPr="004926FB">
              <w:rPr>
                <w:rFonts w:eastAsia="Calibri"/>
                <w:b/>
                <w:lang w:val="en-US" w:eastAsia="en-US"/>
              </w:rPr>
              <w:t xml:space="preserve">Rehabilitation Rate </w:t>
            </w:r>
          </w:p>
        </w:tc>
      </w:tr>
      <w:tr w:rsidR="004926FB" w:rsidRPr="004926FB" w14:paraId="34C734F2" w14:textId="77777777" w:rsidTr="004926FB">
        <w:tc>
          <w:tcPr>
            <w:tcW w:w="3261" w:type="dxa"/>
          </w:tcPr>
          <w:p w14:paraId="5C1A5B10" w14:textId="77777777" w:rsidR="004926FB" w:rsidRPr="004926FB" w:rsidRDefault="004926FB" w:rsidP="004926FB">
            <w:pPr>
              <w:spacing w:line="240" w:lineRule="auto"/>
              <w:rPr>
                <w:rFonts w:eastAsia="Calibri"/>
                <w:lang w:val="en-US" w:eastAsia="en-US"/>
              </w:rPr>
            </w:pPr>
            <w:r w:rsidRPr="004926FB">
              <w:rPr>
                <w:rFonts w:eastAsia="Calibri"/>
                <w:lang w:val="en-US" w:eastAsia="en-US"/>
              </w:rPr>
              <w:t>Reception &amp; Study Center for Children</w:t>
            </w:r>
          </w:p>
        </w:tc>
        <w:tc>
          <w:tcPr>
            <w:tcW w:w="992" w:type="dxa"/>
          </w:tcPr>
          <w:p w14:paraId="7A245731"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80</w:t>
            </w:r>
          </w:p>
        </w:tc>
        <w:tc>
          <w:tcPr>
            <w:tcW w:w="992" w:type="dxa"/>
          </w:tcPr>
          <w:p w14:paraId="5F31DF98"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29</w:t>
            </w:r>
          </w:p>
        </w:tc>
        <w:tc>
          <w:tcPr>
            <w:tcW w:w="963" w:type="dxa"/>
          </w:tcPr>
          <w:p w14:paraId="175BC089"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36.25%</w:t>
            </w:r>
          </w:p>
        </w:tc>
        <w:tc>
          <w:tcPr>
            <w:tcW w:w="1598" w:type="dxa"/>
          </w:tcPr>
          <w:p w14:paraId="35F5F3FA"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24</w:t>
            </w:r>
          </w:p>
        </w:tc>
        <w:tc>
          <w:tcPr>
            <w:tcW w:w="1691" w:type="dxa"/>
          </w:tcPr>
          <w:p w14:paraId="379D9E1B"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82.76%</w:t>
            </w:r>
          </w:p>
        </w:tc>
      </w:tr>
      <w:tr w:rsidR="004926FB" w:rsidRPr="004926FB" w14:paraId="4013F079" w14:textId="77777777" w:rsidTr="004926FB">
        <w:tc>
          <w:tcPr>
            <w:tcW w:w="3261" w:type="dxa"/>
          </w:tcPr>
          <w:p w14:paraId="5946F829" w14:textId="77777777" w:rsidR="004926FB" w:rsidRPr="004926FB" w:rsidRDefault="004926FB" w:rsidP="004926FB">
            <w:pPr>
              <w:spacing w:line="240" w:lineRule="auto"/>
              <w:rPr>
                <w:rFonts w:eastAsia="Calibri"/>
                <w:lang w:val="en-US" w:eastAsia="en-US"/>
              </w:rPr>
            </w:pPr>
            <w:r w:rsidRPr="004926FB">
              <w:rPr>
                <w:rFonts w:eastAsia="Calibri"/>
                <w:lang w:val="en-US" w:eastAsia="en-US"/>
              </w:rPr>
              <w:t>Cagayan Valley Regional Rehabilitation Center for Youth</w:t>
            </w:r>
          </w:p>
        </w:tc>
        <w:tc>
          <w:tcPr>
            <w:tcW w:w="992" w:type="dxa"/>
          </w:tcPr>
          <w:p w14:paraId="12AB2B58"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110</w:t>
            </w:r>
          </w:p>
        </w:tc>
        <w:tc>
          <w:tcPr>
            <w:tcW w:w="992" w:type="dxa"/>
          </w:tcPr>
          <w:p w14:paraId="4BAA7867"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3</w:t>
            </w:r>
            <w:r w:rsidR="00F759DD">
              <w:rPr>
                <w:rFonts w:eastAsia="Calibri"/>
                <w:lang w:val="en-US" w:eastAsia="en-US"/>
              </w:rPr>
              <w:t>6</w:t>
            </w:r>
          </w:p>
        </w:tc>
        <w:tc>
          <w:tcPr>
            <w:tcW w:w="963" w:type="dxa"/>
          </w:tcPr>
          <w:p w14:paraId="65D9F26A" w14:textId="77777777" w:rsidR="004926FB" w:rsidRPr="004926FB" w:rsidRDefault="00221F07" w:rsidP="004926FB">
            <w:pPr>
              <w:spacing w:after="160" w:line="259" w:lineRule="auto"/>
              <w:jc w:val="center"/>
              <w:rPr>
                <w:rFonts w:eastAsia="Calibri"/>
                <w:lang w:val="en-US" w:eastAsia="en-US"/>
              </w:rPr>
            </w:pPr>
            <w:r>
              <w:rPr>
                <w:rFonts w:eastAsia="Calibri"/>
                <w:lang w:val="en-US" w:eastAsia="en-US"/>
              </w:rPr>
              <w:t>32.72</w:t>
            </w:r>
            <w:r w:rsidR="004926FB">
              <w:rPr>
                <w:rFonts w:eastAsia="Calibri"/>
                <w:lang w:val="en-US" w:eastAsia="en-US"/>
              </w:rPr>
              <w:t>%</w:t>
            </w:r>
          </w:p>
        </w:tc>
        <w:tc>
          <w:tcPr>
            <w:tcW w:w="1598" w:type="dxa"/>
          </w:tcPr>
          <w:p w14:paraId="7535B508"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23</w:t>
            </w:r>
          </w:p>
        </w:tc>
        <w:tc>
          <w:tcPr>
            <w:tcW w:w="1691" w:type="dxa"/>
          </w:tcPr>
          <w:p w14:paraId="286EDCA8"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6</w:t>
            </w:r>
            <w:r w:rsidR="00221F07">
              <w:rPr>
                <w:rFonts w:eastAsia="Calibri"/>
                <w:lang w:val="en-US" w:eastAsia="en-US"/>
              </w:rPr>
              <w:t>3</w:t>
            </w:r>
            <w:r>
              <w:rPr>
                <w:rFonts w:eastAsia="Calibri"/>
                <w:lang w:val="en-US" w:eastAsia="en-US"/>
              </w:rPr>
              <w:t>.</w:t>
            </w:r>
            <w:r w:rsidR="00221F07">
              <w:rPr>
                <w:rFonts w:eastAsia="Calibri"/>
                <w:lang w:val="en-US" w:eastAsia="en-US"/>
              </w:rPr>
              <w:t>88</w:t>
            </w:r>
            <w:r>
              <w:rPr>
                <w:rFonts w:eastAsia="Calibri"/>
                <w:lang w:val="en-US" w:eastAsia="en-US"/>
              </w:rPr>
              <w:t>%</w:t>
            </w:r>
          </w:p>
        </w:tc>
      </w:tr>
      <w:tr w:rsidR="004926FB" w:rsidRPr="004926FB" w14:paraId="08104D3D" w14:textId="77777777" w:rsidTr="004926FB">
        <w:trPr>
          <w:trHeight w:val="350"/>
        </w:trPr>
        <w:tc>
          <w:tcPr>
            <w:tcW w:w="3261" w:type="dxa"/>
          </w:tcPr>
          <w:p w14:paraId="57FD2AD2" w14:textId="77777777" w:rsidR="004926FB" w:rsidRPr="004926FB" w:rsidRDefault="004926FB" w:rsidP="004926FB">
            <w:pPr>
              <w:spacing w:line="240" w:lineRule="auto"/>
              <w:rPr>
                <w:rFonts w:eastAsia="Calibri"/>
                <w:lang w:val="en-US" w:eastAsia="en-US"/>
              </w:rPr>
            </w:pPr>
            <w:r w:rsidRPr="004926FB">
              <w:rPr>
                <w:rFonts w:eastAsia="Calibri"/>
                <w:lang w:val="en-US" w:eastAsia="en-US"/>
              </w:rPr>
              <w:t>Regional Haven for Women and Children</w:t>
            </w:r>
          </w:p>
        </w:tc>
        <w:tc>
          <w:tcPr>
            <w:tcW w:w="992" w:type="dxa"/>
          </w:tcPr>
          <w:p w14:paraId="2660A477"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90</w:t>
            </w:r>
          </w:p>
        </w:tc>
        <w:tc>
          <w:tcPr>
            <w:tcW w:w="992" w:type="dxa"/>
          </w:tcPr>
          <w:p w14:paraId="64922B77"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39</w:t>
            </w:r>
          </w:p>
        </w:tc>
        <w:tc>
          <w:tcPr>
            <w:tcW w:w="963" w:type="dxa"/>
          </w:tcPr>
          <w:p w14:paraId="569A63F3"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43.33%</w:t>
            </w:r>
          </w:p>
        </w:tc>
        <w:tc>
          <w:tcPr>
            <w:tcW w:w="1598" w:type="dxa"/>
          </w:tcPr>
          <w:p w14:paraId="7BF93472"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18</w:t>
            </w:r>
          </w:p>
        </w:tc>
        <w:tc>
          <w:tcPr>
            <w:tcW w:w="1691" w:type="dxa"/>
          </w:tcPr>
          <w:p w14:paraId="225DEB15"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46.15%</w:t>
            </w:r>
          </w:p>
        </w:tc>
      </w:tr>
      <w:tr w:rsidR="004926FB" w:rsidRPr="004926FB" w14:paraId="030FB995" w14:textId="77777777" w:rsidTr="004926FB">
        <w:trPr>
          <w:trHeight w:val="137"/>
        </w:trPr>
        <w:tc>
          <w:tcPr>
            <w:tcW w:w="3261" w:type="dxa"/>
          </w:tcPr>
          <w:p w14:paraId="746FD102" w14:textId="77777777" w:rsidR="004926FB" w:rsidRPr="004926FB" w:rsidRDefault="004926FB" w:rsidP="004926FB">
            <w:pPr>
              <w:spacing w:line="240" w:lineRule="auto"/>
              <w:rPr>
                <w:rFonts w:eastAsia="Calibri"/>
                <w:lang w:val="en-US" w:eastAsia="en-US"/>
              </w:rPr>
            </w:pPr>
            <w:r w:rsidRPr="004926FB">
              <w:rPr>
                <w:rFonts w:eastAsia="Calibri"/>
                <w:lang w:val="en-US" w:eastAsia="en-US"/>
              </w:rPr>
              <w:t>Total</w:t>
            </w:r>
          </w:p>
        </w:tc>
        <w:tc>
          <w:tcPr>
            <w:tcW w:w="992" w:type="dxa"/>
          </w:tcPr>
          <w:p w14:paraId="00B22E3F"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280</w:t>
            </w:r>
          </w:p>
        </w:tc>
        <w:tc>
          <w:tcPr>
            <w:tcW w:w="992" w:type="dxa"/>
          </w:tcPr>
          <w:p w14:paraId="4EA4C562"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10</w:t>
            </w:r>
            <w:r w:rsidR="00221F07">
              <w:rPr>
                <w:rFonts w:eastAsia="Calibri"/>
                <w:lang w:val="en-US" w:eastAsia="en-US"/>
              </w:rPr>
              <w:t>4</w:t>
            </w:r>
          </w:p>
        </w:tc>
        <w:tc>
          <w:tcPr>
            <w:tcW w:w="963" w:type="dxa"/>
          </w:tcPr>
          <w:p w14:paraId="223517AC"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37.</w:t>
            </w:r>
            <w:r w:rsidR="00221F07">
              <w:rPr>
                <w:rFonts w:eastAsia="Calibri"/>
                <w:lang w:val="en-US" w:eastAsia="en-US"/>
              </w:rPr>
              <w:t>14</w:t>
            </w:r>
            <w:r>
              <w:rPr>
                <w:rFonts w:eastAsia="Calibri"/>
                <w:lang w:val="en-US" w:eastAsia="en-US"/>
              </w:rPr>
              <w:t>%</w:t>
            </w:r>
          </w:p>
        </w:tc>
        <w:tc>
          <w:tcPr>
            <w:tcW w:w="1598" w:type="dxa"/>
          </w:tcPr>
          <w:p w14:paraId="69D9E2F8"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65</w:t>
            </w:r>
          </w:p>
        </w:tc>
        <w:tc>
          <w:tcPr>
            <w:tcW w:w="1691" w:type="dxa"/>
          </w:tcPr>
          <w:p w14:paraId="66E53ADA" w14:textId="77777777" w:rsidR="004926FB" w:rsidRPr="004926FB" w:rsidRDefault="004926FB" w:rsidP="004926FB">
            <w:pPr>
              <w:spacing w:after="160" w:line="259" w:lineRule="auto"/>
              <w:jc w:val="center"/>
              <w:rPr>
                <w:rFonts w:eastAsia="Calibri"/>
                <w:lang w:val="en-US" w:eastAsia="en-US"/>
              </w:rPr>
            </w:pPr>
            <w:r>
              <w:rPr>
                <w:rFonts w:eastAsia="Calibri"/>
                <w:lang w:val="en-US" w:eastAsia="en-US"/>
              </w:rPr>
              <w:t>6</w:t>
            </w:r>
            <w:r w:rsidR="00221F07">
              <w:rPr>
                <w:rFonts w:eastAsia="Calibri"/>
                <w:lang w:val="en-US" w:eastAsia="en-US"/>
              </w:rPr>
              <w:t>2</w:t>
            </w:r>
            <w:r>
              <w:rPr>
                <w:rFonts w:eastAsia="Calibri"/>
                <w:lang w:val="en-US" w:eastAsia="en-US"/>
              </w:rPr>
              <w:t>.</w:t>
            </w:r>
            <w:r w:rsidR="00221F07">
              <w:rPr>
                <w:rFonts w:eastAsia="Calibri"/>
                <w:lang w:val="en-US" w:eastAsia="en-US"/>
              </w:rPr>
              <w:t>50</w:t>
            </w:r>
            <w:r>
              <w:rPr>
                <w:rFonts w:eastAsia="Calibri"/>
                <w:lang w:val="en-US" w:eastAsia="en-US"/>
              </w:rPr>
              <w:t>%</w:t>
            </w:r>
          </w:p>
        </w:tc>
      </w:tr>
    </w:tbl>
    <w:p w14:paraId="0D4F2A53" w14:textId="77777777" w:rsidR="004926FB" w:rsidRDefault="004926FB" w:rsidP="00F564DF">
      <w:pPr>
        <w:pStyle w:val="NoSpacing"/>
        <w:jc w:val="both"/>
      </w:pPr>
    </w:p>
    <w:p w14:paraId="3117778A" w14:textId="77777777" w:rsidR="00DB048D" w:rsidRPr="00DB048D" w:rsidRDefault="00DB048D" w:rsidP="00DB048D">
      <w:pPr>
        <w:spacing w:line="240" w:lineRule="auto"/>
        <w:jc w:val="both"/>
      </w:pPr>
      <w:r w:rsidRPr="00DB048D">
        <w:t>The rehabilitation rate of clients in the three (3) centers of the region remains to stay beyond the targets set. This is due to the unceasing dedication of the program staff, and the quality comprehensive interventions being provided by the centers which are all accredited by the Department’s Standards Bureau. This CRCF currently has the following level of accreditation:</w:t>
      </w:r>
    </w:p>
    <w:p w14:paraId="6C51BB3E" w14:textId="77777777" w:rsidR="00DB048D" w:rsidRPr="00DB048D" w:rsidRDefault="00DB048D" w:rsidP="00DB048D">
      <w:pPr>
        <w:spacing w:line="240" w:lineRule="auto"/>
        <w:ind w:left="720"/>
        <w:jc w:val="both"/>
      </w:pPr>
    </w:p>
    <w:tbl>
      <w:tblPr>
        <w:tblStyle w:val="TableGrid2"/>
        <w:tblW w:w="0" w:type="auto"/>
        <w:tblInd w:w="720" w:type="dxa"/>
        <w:tblLook w:val="04A0" w:firstRow="1" w:lastRow="0" w:firstColumn="1" w:lastColumn="0" w:noHBand="0" w:noVBand="1"/>
      </w:tblPr>
      <w:tblGrid>
        <w:gridCol w:w="5179"/>
        <w:gridCol w:w="3375"/>
      </w:tblGrid>
      <w:tr w:rsidR="00DB048D" w:rsidRPr="00DB048D" w14:paraId="1D0000BA" w14:textId="77777777" w:rsidTr="000E52A8">
        <w:tc>
          <w:tcPr>
            <w:tcW w:w="5229" w:type="dxa"/>
          </w:tcPr>
          <w:p w14:paraId="16892D7A" w14:textId="77777777" w:rsidR="00DB048D" w:rsidRPr="00DB048D" w:rsidRDefault="00DB048D" w:rsidP="00DB048D">
            <w:pPr>
              <w:spacing w:line="240" w:lineRule="auto"/>
              <w:jc w:val="center"/>
            </w:pPr>
            <w:r w:rsidRPr="00DB048D">
              <w:t>Name of CRCF</w:t>
            </w:r>
          </w:p>
        </w:tc>
        <w:tc>
          <w:tcPr>
            <w:tcW w:w="3401" w:type="dxa"/>
          </w:tcPr>
          <w:p w14:paraId="27A26B6D" w14:textId="77777777" w:rsidR="00DB048D" w:rsidRPr="00DB048D" w:rsidRDefault="00DB048D" w:rsidP="00DB048D">
            <w:pPr>
              <w:spacing w:line="240" w:lineRule="auto"/>
              <w:jc w:val="center"/>
            </w:pPr>
            <w:r w:rsidRPr="00DB048D">
              <w:t>Level of Accreditation</w:t>
            </w:r>
          </w:p>
        </w:tc>
      </w:tr>
      <w:tr w:rsidR="00DB048D" w:rsidRPr="00DB048D" w14:paraId="3D37AEAF" w14:textId="77777777" w:rsidTr="000E52A8">
        <w:tc>
          <w:tcPr>
            <w:tcW w:w="5229" w:type="dxa"/>
          </w:tcPr>
          <w:p w14:paraId="2428A807" w14:textId="77777777" w:rsidR="00DB048D" w:rsidRPr="00DB048D" w:rsidRDefault="00DB048D" w:rsidP="00DB048D">
            <w:pPr>
              <w:spacing w:line="240" w:lineRule="auto"/>
            </w:pPr>
            <w:r w:rsidRPr="00DB048D">
              <w:t>Reception and Study Center for Children</w:t>
            </w:r>
          </w:p>
        </w:tc>
        <w:tc>
          <w:tcPr>
            <w:tcW w:w="3401" w:type="dxa"/>
          </w:tcPr>
          <w:p w14:paraId="46C2E0D2" w14:textId="77777777" w:rsidR="00DB048D" w:rsidRPr="00DB048D" w:rsidRDefault="00DB048D" w:rsidP="00DB048D">
            <w:pPr>
              <w:spacing w:line="240" w:lineRule="auto"/>
              <w:jc w:val="center"/>
            </w:pPr>
            <w:r w:rsidRPr="00DB048D">
              <w:t>Level 1</w:t>
            </w:r>
          </w:p>
        </w:tc>
      </w:tr>
      <w:tr w:rsidR="00DB048D" w:rsidRPr="00DB048D" w14:paraId="50EA14EB" w14:textId="77777777" w:rsidTr="000E52A8">
        <w:tc>
          <w:tcPr>
            <w:tcW w:w="5229" w:type="dxa"/>
          </w:tcPr>
          <w:p w14:paraId="1C35339D" w14:textId="77777777" w:rsidR="00DB048D" w:rsidRPr="00DB048D" w:rsidRDefault="00DB048D" w:rsidP="00DB048D">
            <w:pPr>
              <w:spacing w:line="240" w:lineRule="auto"/>
              <w:jc w:val="both"/>
            </w:pPr>
            <w:r w:rsidRPr="00DB048D">
              <w:t>Regional Haven For Women and Girls (RHWG)</w:t>
            </w:r>
          </w:p>
        </w:tc>
        <w:tc>
          <w:tcPr>
            <w:tcW w:w="3401" w:type="dxa"/>
          </w:tcPr>
          <w:p w14:paraId="4009BED0" w14:textId="77777777" w:rsidR="00DB048D" w:rsidRPr="00DB048D" w:rsidRDefault="00DB048D" w:rsidP="00DB048D">
            <w:pPr>
              <w:spacing w:line="240" w:lineRule="auto"/>
              <w:jc w:val="center"/>
            </w:pPr>
            <w:r w:rsidRPr="00DB048D">
              <w:t>Level 2</w:t>
            </w:r>
          </w:p>
        </w:tc>
      </w:tr>
      <w:tr w:rsidR="00DB048D" w:rsidRPr="00DB048D" w14:paraId="2068B65E" w14:textId="77777777" w:rsidTr="000E52A8">
        <w:tc>
          <w:tcPr>
            <w:tcW w:w="5229" w:type="dxa"/>
          </w:tcPr>
          <w:p w14:paraId="3F314FAA" w14:textId="77777777" w:rsidR="00DB048D" w:rsidRPr="00DB048D" w:rsidRDefault="00DB048D" w:rsidP="00DB048D">
            <w:pPr>
              <w:spacing w:line="240" w:lineRule="auto"/>
              <w:jc w:val="both"/>
            </w:pPr>
            <w:r w:rsidRPr="00DB048D">
              <w:t>Cagayan Valley Regional Rehabilitation for Youth</w:t>
            </w:r>
          </w:p>
        </w:tc>
        <w:tc>
          <w:tcPr>
            <w:tcW w:w="3401" w:type="dxa"/>
          </w:tcPr>
          <w:p w14:paraId="61CA13DB" w14:textId="77777777" w:rsidR="00DB048D" w:rsidRPr="00DB048D" w:rsidRDefault="00DB048D" w:rsidP="00DB048D">
            <w:pPr>
              <w:spacing w:line="240" w:lineRule="auto"/>
              <w:jc w:val="center"/>
            </w:pPr>
            <w:r w:rsidRPr="00DB048D">
              <w:t>Level 3</w:t>
            </w:r>
          </w:p>
        </w:tc>
      </w:tr>
    </w:tbl>
    <w:p w14:paraId="6C28E6A6" w14:textId="77777777" w:rsidR="00DB048D" w:rsidRDefault="00DB048D" w:rsidP="00DB048D">
      <w:pPr>
        <w:spacing w:line="240" w:lineRule="auto"/>
        <w:jc w:val="both"/>
      </w:pPr>
    </w:p>
    <w:p w14:paraId="7825587A" w14:textId="77777777" w:rsidR="00F759DD" w:rsidRDefault="00221F07" w:rsidP="00DB048D">
      <w:pPr>
        <w:spacing w:line="240" w:lineRule="auto"/>
        <w:jc w:val="both"/>
        <w:rPr>
          <w:b/>
        </w:rPr>
      </w:pPr>
      <w:r>
        <w:rPr>
          <w:b/>
        </w:rPr>
        <w:t xml:space="preserve">2.1 </w:t>
      </w:r>
      <w:r w:rsidR="00F759DD" w:rsidRPr="00DB048D">
        <w:rPr>
          <w:b/>
        </w:rPr>
        <w:t>Reception and Study Center for Children</w:t>
      </w:r>
    </w:p>
    <w:p w14:paraId="31D66491" w14:textId="77777777" w:rsidR="00762D43" w:rsidRPr="00DB048D" w:rsidRDefault="00762D43" w:rsidP="00DB048D">
      <w:pPr>
        <w:spacing w:line="240" w:lineRule="auto"/>
        <w:jc w:val="both"/>
        <w:rPr>
          <w:b/>
        </w:rPr>
      </w:pPr>
    </w:p>
    <w:p w14:paraId="4BC028FF" w14:textId="35F8581E" w:rsidR="00DB048D" w:rsidRPr="00DB048D" w:rsidRDefault="00DB048D" w:rsidP="00DB048D">
      <w:pPr>
        <w:spacing w:line="240" w:lineRule="auto"/>
        <w:jc w:val="both"/>
      </w:pPr>
      <w:r w:rsidRPr="00DB048D">
        <w:lastRenderedPageBreak/>
        <w:t xml:space="preserve">The increase in the rehabilitation rate for the Reception and Study Center for Children (RSCC) is due to the </w:t>
      </w:r>
      <w:r>
        <w:t>strengthened case management of the helping team at the center</w:t>
      </w:r>
      <w:r w:rsidRPr="00DB048D">
        <w:t xml:space="preserve">. </w:t>
      </w:r>
      <w:r w:rsidR="00762D43">
        <w:t>The i</w:t>
      </w:r>
      <w:r w:rsidRPr="00DB048D">
        <w:t>mproved developmental milestones based on ECCD is considered rehabilitated even if they are still at the center. It is noted that</w:t>
      </w:r>
      <w:r>
        <w:t xml:space="preserve"> aside from the 29</w:t>
      </w:r>
      <w:r w:rsidRPr="00DB048D">
        <w:t xml:space="preserve"> served clients, a total of 10 children </w:t>
      </w:r>
      <w:r w:rsidR="00762D43">
        <w:t>served</w:t>
      </w:r>
      <w:r w:rsidRPr="00DB048D">
        <w:t xml:space="preserve"> are</w:t>
      </w:r>
      <w:r w:rsidR="00762D43">
        <w:t xml:space="preserve"> also</w:t>
      </w:r>
      <w:r w:rsidRPr="00DB048D">
        <w:t xml:space="preserve"> placed under the foster care services</w:t>
      </w:r>
      <w:r w:rsidR="00762D43">
        <w:t xml:space="preserve">. This is consideration that </w:t>
      </w:r>
      <w:r w:rsidRPr="00DB048D">
        <w:t>case management is currently handled by the RSCC Social Workers. Hence, the total served clients are</w:t>
      </w:r>
      <w:r>
        <w:t xml:space="preserve"> 39</w:t>
      </w:r>
      <w:r w:rsidRPr="00DB048D">
        <w:t xml:space="preserve"> children. The residents were provided with comprehensive packages of social services to address all forms of needs from their therapeutic, psychological, emotional, physical, and mental well-being, to help them gain and regain an entirely holistic development. The center is designed to provide emotional and physical security and other aspects of the development of each client. This is continuous conduct of caseload inventory and blended case conferences. Supervisory sessions with the social workers are conducted, as well as meetings, for the multi-disciplinary approach participated by the helping team to discuss issues and concerns relative to the rehabilitation goals and provision of interventions.</w:t>
      </w:r>
    </w:p>
    <w:p w14:paraId="25F18F09" w14:textId="77777777" w:rsidR="00DB048D" w:rsidRDefault="00DB048D" w:rsidP="00DB048D">
      <w:pPr>
        <w:spacing w:line="240" w:lineRule="auto"/>
        <w:jc w:val="both"/>
      </w:pPr>
      <w:r w:rsidRPr="00DB048D">
        <w:t xml:space="preserve"> </w:t>
      </w:r>
    </w:p>
    <w:p w14:paraId="3F09224A" w14:textId="77777777" w:rsidR="00221F07" w:rsidRDefault="00221F07" w:rsidP="00DB048D">
      <w:pPr>
        <w:spacing w:line="240" w:lineRule="auto"/>
        <w:jc w:val="both"/>
        <w:rPr>
          <w:b/>
        </w:rPr>
      </w:pPr>
      <w:r w:rsidRPr="00221F07">
        <w:rPr>
          <w:b/>
        </w:rPr>
        <w:t>2.2. Cagayan Valley Regiona</w:t>
      </w:r>
      <w:r>
        <w:rPr>
          <w:b/>
        </w:rPr>
        <w:t>l</w:t>
      </w:r>
      <w:r w:rsidRPr="00221F07">
        <w:rPr>
          <w:b/>
        </w:rPr>
        <w:t xml:space="preserve"> Rehabilitation </w:t>
      </w:r>
      <w:r>
        <w:rPr>
          <w:b/>
        </w:rPr>
        <w:t>Center for Youth</w:t>
      </w:r>
    </w:p>
    <w:p w14:paraId="135940C8" w14:textId="77777777" w:rsidR="00762D43" w:rsidRPr="00DB048D" w:rsidRDefault="00762D43" w:rsidP="00DB048D">
      <w:pPr>
        <w:spacing w:line="240" w:lineRule="auto"/>
        <w:jc w:val="both"/>
        <w:rPr>
          <w:b/>
        </w:rPr>
      </w:pPr>
    </w:p>
    <w:p w14:paraId="5C753870" w14:textId="6216EFE0" w:rsidR="00DB048D" w:rsidRDefault="00221F07" w:rsidP="00DB048D">
      <w:pPr>
        <w:spacing w:line="240" w:lineRule="auto"/>
        <w:jc w:val="both"/>
      </w:pPr>
      <w:r w:rsidRPr="00221F07">
        <w:t>For the first semester, thirty-six (36) clients were served at Cagayan Valley Regional Rehabilitation for Youth. Of the 36 residents served, 14 were new admissions and 22 were carry</w:t>
      </w:r>
      <w:r w:rsidR="00762D43">
        <w:t>-</w:t>
      </w:r>
      <w:r w:rsidRPr="00221F07">
        <w:t>over cases from CY 2021. Admission is based on the referring/committing court's referral and court order. Despite limited interaction with residents due to health protocol, the center was able to implement various programs and services to facilitate residents' training and rehabilitation, such as activities along Homelife, Social, Educational, Health and Nutrition Services, Psychological, Economic Productivity, Recreational Services, Developmental and Legal Services, and Spiritual.</w:t>
      </w:r>
    </w:p>
    <w:p w14:paraId="18030C70" w14:textId="77777777" w:rsidR="00221F07" w:rsidRDefault="00221F07" w:rsidP="00DB048D">
      <w:pPr>
        <w:spacing w:line="240" w:lineRule="auto"/>
        <w:jc w:val="both"/>
      </w:pPr>
    </w:p>
    <w:p w14:paraId="4800DFCE" w14:textId="77777777" w:rsidR="00221F07" w:rsidRDefault="00221F07" w:rsidP="00DB048D">
      <w:pPr>
        <w:spacing w:line="240" w:lineRule="auto"/>
        <w:jc w:val="both"/>
        <w:rPr>
          <w:b/>
        </w:rPr>
      </w:pPr>
      <w:r>
        <w:rPr>
          <w:b/>
        </w:rPr>
        <w:t xml:space="preserve">2.3. </w:t>
      </w:r>
      <w:r w:rsidRPr="00221F07">
        <w:rPr>
          <w:b/>
        </w:rPr>
        <w:t>Regional Haven for Women and Girls</w:t>
      </w:r>
    </w:p>
    <w:p w14:paraId="24FD5F8F" w14:textId="77777777" w:rsidR="00762D43" w:rsidRPr="00DB048D" w:rsidRDefault="00762D43" w:rsidP="00DB048D">
      <w:pPr>
        <w:spacing w:line="240" w:lineRule="auto"/>
        <w:jc w:val="both"/>
        <w:rPr>
          <w:b/>
        </w:rPr>
      </w:pPr>
    </w:p>
    <w:p w14:paraId="6496C7BD" w14:textId="77777777" w:rsidR="00F564DF" w:rsidRDefault="00221F07" w:rsidP="00221F07">
      <w:pPr>
        <w:jc w:val="both"/>
      </w:pPr>
      <w:r w:rsidRPr="00221F07">
        <w:t>The Regional Haven for Women and Girls provides ongoing direct services to women and girls who have experienced various types of abuse. The center's clients are still seeking empowerment, healing, and recovery. Through the collaborative effort of the Helping Team, it also aims to address the victim-survivors immediate and long-term needs. The center provided continuous psychosocial services to 39 residents in order to prepare them for reintegration into their respective families and communities. In addition, the center was able to rehabilitate 18 residents, or 46% of the cases served. The rehabilitation rate at the Regional Haven for Women and Girls is also relatively high when compared to its target of 30%.</w:t>
      </w:r>
    </w:p>
    <w:p w14:paraId="077978B4" w14:textId="77777777" w:rsidR="00221F07" w:rsidRDefault="00221F07"/>
    <w:p w14:paraId="5A18391A" w14:textId="77777777" w:rsidR="00221F07" w:rsidRPr="00221F07" w:rsidRDefault="00221F07" w:rsidP="00221F07">
      <w:pPr>
        <w:spacing w:line="240" w:lineRule="auto"/>
        <w:jc w:val="both"/>
        <w:rPr>
          <w:b/>
        </w:rPr>
      </w:pPr>
      <w:r>
        <w:rPr>
          <w:b/>
        </w:rPr>
        <w:t xml:space="preserve">B. </w:t>
      </w:r>
      <w:r w:rsidRPr="00221F07">
        <w:rPr>
          <w:b/>
        </w:rPr>
        <w:t>Community-Based Services</w:t>
      </w:r>
    </w:p>
    <w:p w14:paraId="6E537E9F" w14:textId="77777777" w:rsidR="00221F07" w:rsidRPr="00221F07" w:rsidRDefault="00221F07" w:rsidP="00221F07">
      <w:pPr>
        <w:spacing w:line="240" w:lineRule="auto"/>
        <w:jc w:val="both"/>
      </w:pPr>
    </w:p>
    <w:p w14:paraId="142D9459" w14:textId="77777777" w:rsidR="00221F07" w:rsidRPr="00221F07" w:rsidRDefault="00221F07" w:rsidP="00221F07">
      <w:pPr>
        <w:spacing w:line="240" w:lineRule="auto"/>
        <w:rPr>
          <w:b/>
        </w:rPr>
      </w:pPr>
      <w:r>
        <w:rPr>
          <w:b/>
        </w:rPr>
        <w:t xml:space="preserve">2.4. </w:t>
      </w:r>
      <w:r w:rsidRPr="00221F07">
        <w:rPr>
          <w:b/>
        </w:rPr>
        <w:t>Supplementary Feeding Program</w:t>
      </w:r>
    </w:p>
    <w:p w14:paraId="33A0D41A" w14:textId="77777777" w:rsidR="00221F07" w:rsidRPr="00221F07" w:rsidRDefault="00221F07" w:rsidP="00221F07">
      <w:pPr>
        <w:spacing w:line="240" w:lineRule="auto"/>
        <w:jc w:val="center"/>
        <w:rPr>
          <w:b/>
        </w:rPr>
      </w:pPr>
    </w:p>
    <w:p w14:paraId="3BF5C502" w14:textId="77777777" w:rsidR="00221F07" w:rsidRDefault="00221F07" w:rsidP="00221F07">
      <w:pPr>
        <w:jc w:val="both"/>
      </w:pPr>
      <w:r w:rsidRPr="00221F07">
        <w:t>The Supplementary Feeding Program (SFP) is the provision of food in addition to regular meals to children enrolled in Child Development Centers (CDCs) and Supervised Neighborhood Plays (SNPs), as part of the Department of Social Welfare and Developments (DSWDs) contribution to the government's Early Childhood Care and Development (ECCD) program, and in response to Republic Act (RA) No.11037, known as the "Masustansyang Pagkain para sa Batang Pilipino Act” of 2018 wherein DSWD is mandated to implement the SFP to address under nutrition among Filipino children.</w:t>
      </w:r>
    </w:p>
    <w:p w14:paraId="5E93B637" w14:textId="77777777" w:rsidR="00221F07" w:rsidRDefault="00221F07" w:rsidP="00221F07">
      <w:pPr>
        <w:jc w:val="both"/>
      </w:pPr>
    </w:p>
    <w:p w14:paraId="63C249AC" w14:textId="77777777" w:rsidR="00221F07" w:rsidRDefault="00221F07" w:rsidP="00221F07">
      <w:r w:rsidRPr="00221F07">
        <w:t>It is provided in the form of hot meals and/or alternative meals to children aged five (5) to seven (7) days per week for a total of 120 feeding days per cycle. Parents/caregivers will manage the feeding based on the prepared cycle menu and indigenous food supplies.</w:t>
      </w:r>
    </w:p>
    <w:p w14:paraId="2F9148B1" w14:textId="77777777" w:rsidR="00221F07" w:rsidRDefault="00221F07" w:rsidP="00221F07"/>
    <w:p w14:paraId="739E75C8" w14:textId="77777777" w:rsidR="00221F07" w:rsidRDefault="00221F07" w:rsidP="00221F07">
      <w:r>
        <w:lastRenderedPageBreak/>
        <w:t>The children served for this 1st semester are still those children enrolled in the CDCs for 11th cycle or SY 2021-2022 in all 93 municipalities with a total number of 95,756 children beneficiaries. The implementation of SFP 11th cycle is until June 30, 2022 or until end of SY 2021-2022.</w:t>
      </w:r>
    </w:p>
    <w:p w14:paraId="21195E70" w14:textId="77777777" w:rsidR="00221F07" w:rsidRDefault="00221F07" w:rsidP="00221F07"/>
    <w:p w14:paraId="6548AE00" w14:textId="77777777" w:rsidR="00221F07" w:rsidRDefault="00221F07" w:rsidP="00516AD6">
      <w:pPr>
        <w:pStyle w:val="ListParagraph"/>
        <w:numPr>
          <w:ilvl w:val="0"/>
          <w:numId w:val="4"/>
        </w:numPr>
        <w:jc w:val="both"/>
      </w:pPr>
      <w:r>
        <w:t>93 Local Government Units (LGUs) have completed the implementation of the program by end of June 2022.</w:t>
      </w:r>
    </w:p>
    <w:p w14:paraId="3048227F" w14:textId="77777777" w:rsidR="00221F07" w:rsidRDefault="00221F07" w:rsidP="00516AD6">
      <w:pPr>
        <w:pStyle w:val="ListParagraph"/>
        <w:numPr>
          <w:ilvl w:val="0"/>
          <w:numId w:val="4"/>
        </w:numPr>
        <w:jc w:val="both"/>
      </w:pPr>
      <w:r>
        <w:t>100% liquidation of 11th cycle fund transfer to partner agency, Philippine Carabao Center (PCC).</w:t>
      </w:r>
    </w:p>
    <w:p w14:paraId="5A603C93" w14:textId="77777777" w:rsidR="00221F07" w:rsidRDefault="00221F07" w:rsidP="00516AD6">
      <w:pPr>
        <w:pStyle w:val="ListParagraph"/>
        <w:numPr>
          <w:ilvl w:val="0"/>
          <w:numId w:val="4"/>
        </w:numPr>
        <w:jc w:val="both"/>
      </w:pPr>
      <w:r>
        <w:t>97.48% liquidation of 11th cycle fund transfer to the 93 municipalities as of 24 June 2022.</w:t>
      </w:r>
    </w:p>
    <w:p w14:paraId="3900B675" w14:textId="77777777" w:rsidR="00A31999" w:rsidRDefault="00A31999" w:rsidP="00516AD6">
      <w:pPr>
        <w:pStyle w:val="ListParagraph"/>
        <w:numPr>
          <w:ilvl w:val="0"/>
          <w:numId w:val="4"/>
        </w:numPr>
        <w:jc w:val="both"/>
      </w:pPr>
      <w:r w:rsidRPr="00A31999">
        <w:t>Target date of implementation for the 12th cycle is August 2022 to December 2022.</w:t>
      </w:r>
    </w:p>
    <w:p w14:paraId="6B648549" w14:textId="77777777" w:rsidR="00221F07" w:rsidRDefault="00221F07" w:rsidP="00221F07">
      <w:pPr>
        <w:jc w:val="both"/>
      </w:pPr>
    </w:p>
    <w:p w14:paraId="0A5A391C" w14:textId="77777777" w:rsidR="00221F07" w:rsidRDefault="00A31999" w:rsidP="00221F07">
      <w:r>
        <w:t>T</w:t>
      </w:r>
      <w:r w:rsidRPr="00A31999">
        <w:t>he program</w:t>
      </w:r>
      <w:r>
        <w:t xml:space="preserve"> has exceeded the given </w:t>
      </w:r>
      <w:r w:rsidRPr="00A31999">
        <w:t>target beneficiaries per province as well as region-wide data coverage by 104 percent or 95,756 versus the target beneficiaries of 91,712</w:t>
      </w:r>
      <w:r>
        <w:t xml:space="preserve">. </w:t>
      </w:r>
    </w:p>
    <w:p w14:paraId="424D96C0" w14:textId="77777777" w:rsidR="00A31999" w:rsidRDefault="00A31999" w:rsidP="00221F07"/>
    <w:p w14:paraId="359D2AB4" w14:textId="77777777" w:rsidR="00A31999" w:rsidRPr="00A31999" w:rsidRDefault="00A31999" w:rsidP="00A31999">
      <w:pPr>
        <w:rPr>
          <w:b/>
        </w:rPr>
      </w:pPr>
      <w:r w:rsidRPr="00A31999">
        <w:rPr>
          <w:b/>
        </w:rPr>
        <w:t>2.5. Social Pension Program</w:t>
      </w:r>
    </w:p>
    <w:p w14:paraId="697C04E5" w14:textId="77777777" w:rsidR="00A31999" w:rsidRDefault="00A31999" w:rsidP="00A31999"/>
    <w:p w14:paraId="55D4A64C" w14:textId="77777777" w:rsidR="00A31999" w:rsidRDefault="00A31999" w:rsidP="00A31999">
      <w:pPr>
        <w:jc w:val="both"/>
      </w:pPr>
      <w:r>
        <w:t>Republic Act 9994 or the Expanded Senior Citizens Act seeks to help augment the daily subsistence and medical needs of indigent senior citizens, the DSWD continues to implement the Social Pension Program for Indigent Senior Citizens. The program provides P500 monthly stipend to poor seniors who are frail, sickly, and with disabilities; without regular income or support from family; and with no existing pension from the Social Security System, Government Service Insurance System, and other organizations.</w:t>
      </w:r>
    </w:p>
    <w:p w14:paraId="59FC9B08" w14:textId="77777777" w:rsidR="00A31999" w:rsidRDefault="00A31999" w:rsidP="00A31999">
      <w:pPr>
        <w:jc w:val="both"/>
      </w:pPr>
    </w:p>
    <w:p w14:paraId="4AD4718D" w14:textId="77777777" w:rsidR="00A31999" w:rsidRPr="00A31999" w:rsidRDefault="00A31999" w:rsidP="00A31999">
      <w:pPr>
        <w:jc w:val="both"/>
      </w:pPr>
      <w:r w:rsidRPr="00A31999">
        <w:t>The Regional Social Pension Program Management Office (RSPPMO) has finished distributing stipends to qualified indigent senior citizens for the Second Quarter of this year, which began on April 26 and ended on June 17, 2022. Despite the persistent covid-19 and issues and challenges encountered by the program, the RSPPMO remained steadfast and committed to providing services to society's most vulnerable sector.</w:t>
      </w:r>
    </w:p>
    <w:p w14:paraId="5314FA6D" w14:textId="77777777" w:rsidR="00A31999" w:rsidRPr="00A31999" w:rsidRDefault="00A31999" w:rsidP="00A31999">
      <w:pPr>
        <w:jc w:val="both"/>
      </w:pPr>
    </w:p>
    <w:p w14:paraId="66D7F705" w14:textId="77777777" w:rsidR="00A31999" w:rsidRDefault="00A31999" w:rsidP="00A31999">
      <w:pPr>
        <w:jc w:val="both"/>
      </w:pPr>
      <w:r w:rsidRPr="00A31999">
        <w:t>The program has a total physical target of 244,431 beneficiaries, with a fund allocation of P1, 466,586,000.00 to be distributed from the first to fourth quarters of the fiscal year 2022.</w:t>
      </w:r>
    </w:p>
    <w:p w14:paraId="062C6957" w14:textId="77777777" w:rsidR="000E52A8" w:rsidRDefault="000E52A8" w:rsidP="00A31999">
      <w:pPr>
        <w:jc w:val="both"/>
      </w:pPr>
    </w:p>
    <w:p w14:paraId="70D1DF02" w14:textId="77777777" w:rsidR="000E52A8" w:rsidRPr="000E52A8" w:rsidRDefault="000E52A8" w:rsidP="000E52A8">
      <w:pPr>
        <w:spacing w:line="240" w:lineRule="auto"/>
        <w:jc w:val="both"/>
        <w:rPr>
          <w:rFonts w:ascii="Times New Roman" w:eastAsia="Times New Roman" w:hAnsi="Times New Roman" w:cs="Times New Roman"/>
          <w:sz w:val="24"/>
          <w:szCs w:val="24"/>
          <w:lang w:val="en-PH" w:eastAsia="en-PH"/>
        </w:rPr>
      </w:pPr>
      <w:r w:rsidRPr="000E52A8">
        <w:rPr>
          <w:rFonts w:eastAsia="Times New Roman"/>
          <w:color w:val="000000"/>
          <w:sz w:val="24"/>
          <w:szCs w:val="24"/>
          <w:lang w:val="en-PH" w:eastAsia="en-PH"/>
        </w:rPr>
        <w:t>Status of Physical and Financial Utilization of FY 2022 First and</w:t>
      </w:r>
      <w:r>
        <w:rPr>
          <w:rFonts w:eastAsia="Times New Roman"/>
          <w:color w:val="000000"/>
          <w:sz w:val="24"/>
          <w:szCs w:val="24"/>
          <w:lang w:val="en-PH" w:eastAsia="en-PH"/>
        </w:rPr>
        <w:t xml:space="preserve"> Second Quarter is shown below: </w:t>
      </w:r>
    </w:p>
    <w:p w14:paraId="3E65369B" w14:textId="77777777" w:rsidR="000E52A8" w:rsidRPr="000E52A8" w:rsidRDefault="000E52A8" w:rsidP="000E52A8">
      <w:pPr>
        <w:spacing w:line="240" w:lineRule="auto"/>
        <w:jc w:val="both"/>
        <w:rPr>
          <w:rFonts w:ascii="Times New Roman" w:eastAsia="Times New Roman" w:hAnsi="Times New Roman" w:cs="Times New Roman"/>
          <w:sz w:val="24"/>
          <w:szCs w:val="24"/>
          <w:lang w:val="en-PH" w:eastAsia="en-PH"/>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41"/>
        <w:gridCol w:w="1287"/>
        <w:gridCol w:w="1256"/>
        <w:gridCol w:w="1287"/>
        <w:gridCol w:w="1256"/>
        <w:gridCol w:w="856"/>
        <w:gridCol w:w="1115"/>
        <w:gridCol w:w="1152"/>
      </w:tblGrid>
      <w:tr w:rsidR="000E52A8" w:rsidRPr="000E52A8" w14:paraId="4F001591" w14:textId="77777777" w:rsidTr="000E52A8">
        <w:trPr>
          <w:trHeight w:val="269"/>
        </w:trPr>
        <w:tc>
          <w:tcPr>
            <w:tcW w:w="935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EC9AEB"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b/>
                <w:bCs/>
                <w:color w:val="000000"/>
                <w:sz w:val="20"/>
                <w:szCs w:val="20"/>
                <w:lang w:val="en-PH" w:eastAsia="en-PH"/>
              </w:rPr>
              <w:t>FY 2022 STATUS OF ACCOMPLISHMENT REPORT</w:t>
            </w:r>
          </w:p>
        </w:tc>
      </w:tr>
      <w:tr w:rsidR="000E52A8" w:rsidRPr="000E52A8" w14:paraId="314C9E13" w14:textId="77777777" w:rsidTr="000E52A8">
        <w:tc>
          <w:tcPr>
            <w:tcW w:w="11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48409A"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b/>
                <w:bCs/>
                <w:color w:val="000000"/>
                <w:sz w:val="20"/>
                <w:szCs w:val="20"/>
                <w:lang w:val="en-PH" w:eastAsia="en-PH"/>
              </w:rPr>
              <w:t>QUARTER 2022</w:t>
            </w:r>
          </w:p>
        </w:tc>
        <w:tc>
          <w:tcPr>
            <w:tcW w:w="2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E3477C"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b/>
                <w:bCs/>
                <w:color w:val="000000"/>
                <w:sz w:val="20"/>
                <w:szCs w:val="20"/>
                <w:lang w:val="en-PH" w:eastAsia="en-PH"/>
              </w:rPr>
              <w:t>TARGET</w:t>
            </w:r>
          </w:p>
        </w:tc>
        <w:tc>
          <w:tcPr>
            <w:tcW w:w="33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3A3D55"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b/>
                <w:bCs/>
                <w:color w:val="000000"/>
                <w:sz w:val="20"/>
                <w:szCs w:val="20"/>
                <w:lang w:val="en-PH" w:eastAsia="en-PH"/>
              </w:rPr>
              <w:t>SERVED</w:t>
            </w: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4FC531"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b/>
                <w:bCs/>
                <w:color w:val="000000"/>
                <w:sz w:val="20"/>
                <w:szCs w:val="20"/>
                <w:lang w:val="en-PH" w:eastAsia="en-PH"/>
              </w:rPr>
              <w:t>VARIANCE</w:t>
            </w:r>
          </w:p>
        </w:tc>
      </w:tr>
      <w:tr w:rsidR="000E52A8" w:rsidRPr="000E52A8" w14:paraId="5538F6C1" w14:textId="77777777" w:rsidTr="000E52A8">
        <w:trPr>
          <w:trHeight w:val="531"/>
        </w:trPr>
        <w:tc>
          <w:tcPr>
            <w:tcW w:w="1141" w:type="dxa"/>
            <w:vMerge/>
            <w:tcBorders>
              <w:top w:val="single" w:sz="4" w:space="0" w:color="000000"/>
              <w:left w:val="single" w:sz="4" w:space="0" w:color="000000"/>
              <w:bottom w:val="single" w:sz="4" w:space="0" w:color="000000"/>
              <w:right w:val="single" w:sz="4" w:space="0" w:color="000000"/>
            </w:tcBorders>
            <w:vAlign w:val="center"/>
            <w:hideMark/>
          </w:tcPr>
          <w:p w14:paraId="63591E5C" w14:textId="77777777" w:rsidR="000E52A8" w:rsidRPr="000E52A8" w:rsidRDefault="000E52A8" w:rsidP="000E52A8">
            <w:pPr>
              <w:spacing w:line="240" w:lineRule="auto"/>
              <w:rPr>
                <w:rFonts w:ascii="Times New Roman" w:eastAsia="Times New Roman" w:hAnsi="Times New Roman" w:cs="Times New Roman"/>
                <w:sz w:val="24"/>
                <w:szCs w:val="24"/>
                <w:lang w:val="en-PH" w:eastAsia="en-PH"/>
              </w:rPr>
            </w:pP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EE98FE"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Beneficiaries</w:t>
            </w: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7045DB"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Amount</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34A685"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Beneficiaries</w:t>
            </w: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E50C7D"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Amount Disbursed</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1CFEE4"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b/>
                <w:bCs/>
                <w:color w:val="000000"/>
                <w:sz w:val="20"/>
                <w:szCs w:val="20"/>
                <w:lang w:val="en-PH" w:eastAsia="en-PH"/>
              </w:rPr>
              <w:t>%</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6B1E63"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Beneficiaries</w:t>
            </w:r>
          </w:p>
        </w:tc>
        <w:tc>
          <w:tcPr>
            <w:tcW w:w="1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98039"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Amount</w:t>
            </w:r>
          </w:p>
        </w:tc>
      </w:tr>
      <w:tr w:rsidR="000E52A8" w:rsidRPr="000E52A8" w14:paraId="03402490" w14:textId="77777777" w:rsidTr="000E52A8">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F211C"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b/>
                <w:bCs/>
                <w:color w:val="000000"/>
                <w:sz w:val="20"/>
                <w:szCs w:val="20"/>
                <w:lang w:val="en-PH" w:eastAsia="en-PH"/>
              </w:rPr>
              <w:t>First Quarter</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5DE3A"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244,431</w:t>
            </w: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B339C"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366,646,500</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7A7A9"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237,095</w:t>
            </w: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7DCE2"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355,642,500</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17F73"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96.99</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34534"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7,336</w:t>
            </w:r>
          </w:p>
        </w:tc>
        <w:tc>
          <w:tcPr>
            <w:tcW w:w="1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2C159"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11,004,000</w:t>
            </w:r>
          </w:p>
        </w:tc>
      </w:tr>
      <w:tr w:rsidR="000E52A8" w:rsidRPr="000E52A8" w14:paraId="220DF91C" w14:textId="77777777" w:rsidTr="000E52A8">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768C0"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b/>
                <w:bCs/>
                <w:color w:val="000000"/>
                <w:sz w:val="20"/>
                <w:szCs w:val="20"/>
                <w:lang w:val="en-PH" w:eastAsia="en-PH"/>
              </w:rPr>
              <w:t>Second Quarter</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A6FAF"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244,431</w:t>
            </w: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B6690"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366,646,500</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A81EB"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226,922</w:t>
            </w: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70BE2"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344,433,000</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FAC27"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93.94</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C1FD9"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14,809</w:t>
            </w:r>
          </w:p>
        </w:tc>
        <w:tc>
          <w:tcPr>
            <w:tcW w:w="1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E8CD8" w14:textId="77777777" w:rsidR="000E52A8" w:rsidRPr="000E52A8" w:rsidRDefault="000E52A8" w:rsidP="000E52A8">
            <w:pPr>
              <w:spacing w:line="240" w:lineRule="auto"/>
              <w:jc w:val="center"/>
              <w:rPr>
                <w:rFonts w:ascii="Times New Roman" w:eastAsia="Times New Roman" w:hAnsi="Times New Roman" w:cs="Times New Roman"/>
                <w:sz w:val="24"/>
                <w:szCs w:val="24"/>
                <w:lang w:val="en-PH" w:eastAsia="en-PH"/>
              </w:rPr>
            </w:pPr>
            <w:r w:rsidRPr="000E52A8">
              <w:rPr>
                <w:rFonts w:eastAsia="Times New Roman"/>
                <w:color w:val="000000"/>
                <w:sz w:val="20"/>
                <w:szCs w:val="20"/>
                <w:lang w:val="en-PH" w:eastAsia="en-PH"/>
              </w:rPr>
              <w:t>22,213,500</w:t>
            </w:r>
          </w:p>
        </w:tc>
      </w:tr>
    </w:tbl>
    <w:p w14:paraId="0D1A7B52" w14:textId="77777777" w:rsidR="000E52A8" w:rsidRDefault="000E52A8" w:rsidP="00A31999">
      <w:pPr>
        <w:jc w:val="both"/>
      </w:pPr>
      <w:r>
        <w:t>Note: The v</w:t>
      </w:r>
      <w:r w:rsidRPr="000E52A8">
        <w:t xml:space="preserve">ariance will be re-payrolled for inclusion in the CY 2022 </w:t>
      </w:r>
      <w:r>
        <w:t>third-quarter</w:t>
      </w:r>
      <w:r w:rsidRPr="000E52A8">
        <w:t xml:space="preserve"> cash pay-out.</w:t>
      </w:r>
    </w:p>
    <w:p w14:paraId="4BF9AB97" w14:textId="77777777" w:rsidR="000E52A8" w:rsidRDefault="000E52A8" w:rsidP="00A31999">
      <w:pPr>
        <w:jc w:val="both"/>
      </w:pPr>
    </w:p>
    <w:p w14:paraId="44389F8A" w14:textId="77777777" w:rsidR="000E52A8" w:rsidRPr="000E52A8" w:rsidRDefault="000E52A8" w:rsidP="000E52A8">
      <w:pPr>
        <w:spacing w:line="240" w:lineRule="auto"/>
        <w:rPr>
          <w:b/>
        </w:rPr>
      </w:pPr>
      <w:r>
        <w:rPr>
          <w:b/>
        </w:rPr>
        <w:t xml:space="preserve">2.6. </w:t>
      </w:r>
      <w:r w:rsidRPr="000E52A8">
        <w:rPr>
          <w:b/>
        </w:rPr>
        <w:t>Centenarian Program</w:t>
      </w:r>
    </w:p>
    <w:p w14:paraId="4B4D4940" w14:textId="77777777" w:rsidR="000E52A8" w:rsidRPr="000E52A8" w:rsidRDefault="000E52A8" w:rsidP="000E52A8">
      <w:pPr>
        <w:spacing w:line="240" w:lineRule="auto"/>
        <w:jc w:val="both"/>
        <w:rPr>
          <w:b/>
        </w:rPr>
      </w:pPr>
    </w:p>
    <w:p w14:paraId="6EFFE71A" w14:textId="77777777" w:rsidR="000E52A8" w:rsidRDefault="008E225C" w:rsidP="00A31999">
      <w:pPr>
        <w:jc w:val="both"/>
      </w:pPr>
      <w:r w:rsidRPr="008E225C">
        <w:t xml:space="preserve">Under Republic Act 10868, also known as the Centenarians Act of 2016, all Filipinos who reach the age of 100, whether in the Philippines or abroad, will receive a Centenarian gift of P100,000 and a Letter of Felicitation from the National Government. With the assistance of management </w:t>
      </w:r>
      <w:r w:rsidRPr="008E225C">
        <w:lastRenderedPageBreak/>
        <w:t>and the cooperation of the LGUs, the Department has recognized and awarded 27 centenarians out of a target of 60 for a total of P2, 700,000. The stated target was facilitated and delivered, resulting in a 45% accomplishment for this semester.</w:t>
      </w:r>
    </w:p>
    <w:p w14:paraId="6A51BBE4" w14:textId="77777777" w:rsidR="008E225C" w:rsidRPr="00A31999" w:rsidRDefault="008E225C" w:rsidP="00A31999">
      <w:pPr>
        <w:jc w:val="both"/>
      </w:pPr>
    </w:p>
    <w:p w14:paraId="5CA205F3" w14:textId="77777777" w:rsidR="008E225C" w:rsidRDefault="008E225C" w:rsidP="008E225C">
      <w:pPr>
        <w:jc w:val="both"/>
      </w:pPr>
      <w:r w:rsidRPr="008E225C">
        <w:t>With a 45 percent success rate, the program facilitated and provided Centenarian Gift and Felicitation letters to twenty-seven (27) people in the following provinces two (2) Batanes, thirteen (13) Cagayan, and ten (10) Isabela, and two (2) Nueva Vizcaya. On the sex-disaggregated data, 21 female centenarians (77.77%) and six male centenarians (28.57%) served. Twenty-five (25) of them are still alive, and two (2) are deceased.</w:t>
      </w:r>
    </w:p>
    <w:p w14:paraId="4ECB193D" w14:textId="77777777" w:rsidR="008E225C" w:rsidRDefault="008E225C" w:rsidP="008E225C">
      <w:pPr>
        <w:jc w:val="both"/>
      </w:pPr>
    </w:p>
    <w:p w14:paraId="18EDE37D" w14:textId="77777777" w:rsidR="008E225C" w:rsidRPr="008E225C" w:rsidRDefault="008E225C" w:rsidP="008E225C">
      <w:pPr>
        <w:pStyle w:val="NoSpacing"/>
        <w:rPr>
          <w:b/>
        </w:rPr>
      </w:pPr>
      <w:r>
        <w:t xml:space="preserve">2.7. </w:t>
      </w:r>
      <w:r w:rsidRPr="008E225C">
        <w:rPr>
          <w:b/>
        </w:rPr>
        <w:t>Assistance to Individuals in Crisis Situation (AICS) Program</w:t>
      </w:r>
    </w:p>
    <w:p w14:paraId="793CE9A1" w14:textId="77777777" w:rsidR="008E225C" w:rsidRDefault="008E225C" w:rsidP="008E225C">
      <w:pPr>
        <w:jc w:val="both"/>
      </w:pPr>
    </w:p>
    <w:p w14:paraId="30DBC0AC" w14:textId="77777777" w:rsidR="008E225C" w:rsidRDefault="00861ACE" w:rsidP="008E225C">
      <w:pPr>
        <w:jc w:val="both"/>
      </w:pPr>
      <w:r w:rsidRPr="00CB132A">
        <w:t>The DSWD continues to support the recovery of individuals and families from unexpected cris</w:t>
      </w:r>
      <w:r>
        <w:t>e</w:t>
      </w:r>
      <w:r w:rsidRPr="00CB132A">
        <w:t xml:space="preserve">s through the Assistance to Individuals in Crisis Situation (AICS). </w:t>
      </w:r>
      <w:r>
        <w:t>The Crisis Intervention Section</w:t>
      </w:r>
      <w:r w:rsidR="008E225C">
        <w:t xml:space="preserve"> and SWAD Satellite Offices served a total of 135,058 clients. </w:t>
      </w:r>
    </w:p>
    <w:p w14:paraId="64768D99" w14:textId="77777777" w:rsidR="004D02BD" w:rsidRDefault="004D02BD" w:rsidP="008E225C">
      <w:pPr>
        <w:jc w:val="both"/>
      </w:pPr>
    </w:p>
    <w:tbl>
      <w:tblPr>
        <w:tblW w:w="0" w:type="auto"/>
        <w:tblCellMar>
          <w:top w:w="15" w:type="dxa"/>
          <w:left w:w="15" w:type="dxa"/>
          <w:bottom w:w="15" w:type="dxa"/>
          <w:right w:w="15" w:type="dxa"/>
        </w:tblCellMar>
        <w:tblLook w:val="04A0" w:firstRow="1" w:lastRow="0" w:firstColumn="1" w:lastColumn="0" w:noHBand="0" w:noVBand="1"/>
      </w:tblPr>
      <w:tblGrid>
        <w:gridCol w:w="4832"/>
        <w:gridCol w:w="1050"/>
        <w:gridCol w:w="1234"/>
        <w:gridCol w:w="1012"/>
      </w:tblGrid>
      <w:tr w:rsidR="00861ACE" w:rsidRPr="00861ACE" w14:paraId="5AD84D38" w14:textId="77777777" w:rsidTr="00861AC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B51A2"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b/>
                <w:bCs/>
                <w:color w:val="000000"/>
                <w:sz w:val="24"/>
                <w:szCs w:val="24"/>
                <w:lang w:val="en-PH" w:eastAsia="en-PH"/>
              </w:rPr>
              <w:t>Type of Assistance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7BB2D"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b/>
                <w:bCs/>
                <w:color w:val="000000"/>
                <w:sz w:val="20"/>
                <w:szCs w:val="20"/>
                <w:lang w:val="en-PH" w:eastAsia="en-PH"/>
              </w:rPr>
              <w:t>No. of Clients Served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4629F"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b/>
                <w:bCs/>
                <w:color w:val="000000"/>
                <w:sz w:val="24"/>
                <w:szCs w:val="24"/>
                <w:lang w:val="en-PH" w:eastAsia="en-PH"/>
              </w:rPr>
              <w:t>Total</w:t>
            </w:r>
          </w:p>
        </w:tc>
      </w:tr>
      <w:tr w:rsidR="00861ACE" w:rsidRPr="00861ACE" w14:paraId="46CCF08F" w14:textId="77777777" w:rsidTr="00861AC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1746EB" w14:textId="77777777" w:rsidR="00861ACE" w:rsidRPr="00861ACE" w:rsidRDefault="00861ACE" w:rsidP="00861ACE">
            <w:pPr>
              <w:spacing w:line="240" w:lineRule="auto"/>
              <w:rPr>
                <w:rFonts w:ascii="Times New Roman" w:eastAsia="Times New Roman" w:hAnsi="Times New Roman" w:cs="Times New Roman"/>
                <w:sz w:val="24"/>
                <w:szCs w:val="24"/>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87C97"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b/>
                <w:bCs/>
                <w:color w:val="000000"/>
                <w:sz w:val="24"/>
                <w:szCs w:val="24"/>
                <w:lang w:val="en-PH" w:eastAsia="en-PH"/>
              </w:rPr>
              <w:t>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070D1"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b/>
                <w:bCs/>
                <w:color w:val="000000"/>
                <w:sz w:val="24"/>
                <w:szCs w:val="24"/>
                <w:lang w:val="en-PH" w:eastAsia="en-PH"/>
              </w:rPr>
              <w:t>Female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14D219" w14:textId="77777777" w:rsidR="00861ACE" w:rsidRPr="00861ACE" w:rsidRDefault="00861ACE" w:rsidP="00861ACE">
            <w:pPr>
              <w:spacing w:line="240" w:lineRule="auto"/>
              <w:rPr>
                <w:rFonts w:ascii="Times New Roman" w:eastAsia="Times New Roman" w:hAnsi="Times New Roman" w:cs="Times New Roman"/>
                <w:sz w:val="24"/>
                <w:szCs w:val="24"/>
                <w:lang w:val="en-PH" w:eastAsia="en-PH"/>
              </w:rPr>
            </w:pPr>
          </w:p>
        </w:tc>
      </w:tr>
      <w:tr w:rsidR="00861ACE" w:rsidRPr="00861ACE" w14:paraId="076BD038" w14:textId="77777777" w:rsidTr="00861A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571F2" w14:textId="77777777" w:rsidR="00861ACE" w:rsidRPr="00861ACE" w:rsidRDefault="00861ACE" w:rsidP="00861ACE">
            <w:pPr>
              <w:spacing w:line="240" w:lineRule="auto"/>
              <w:rPr>
                <w:rFonts w:ascii="Times New Roman" w:eastAsia="Times New Roman" w:hAnsi="Times New Roman" w:cs="Times New Roman"/>
                <w:sz w:val="24"/>
                <w:szCs w:val="24"/>
                <w:lang w:val="en-PH" w:eastAsia="en-PH"/>
              </w:rPr>
            </w:pPr>
            <w:r w:rsidRPr="00861ACE">
              <w:rPr>
                <w:rFonts w:eastAsia="Times New Roman"/>
                <w:color w:val="000000"/>
                <w:sz w:val="24"/>
                <w:szCs w:val="24"/>
                <w:lang w:val="en-PH" w:eastAsia="en-PH"/>
              </w:rPr>
              <w:t>Medical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611C25"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color w:val="000000"/>
                <w:lang w:val="en-PH" w:eastAsia="en-PH"/>
              </w:rPr>
              <w:t>6,465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817901"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color w:val="000000"/>
                <w:lang w:val="en-PH" w:eastAsia="en-PH"/>
              </w:rPr>
              <w:t>17,078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0BF2BC"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bCs/>
                <w:color w:val="000000"/>
                <w:lang w:val="en-PH" w:eastAsia="en-PH"/>
              </w:rPr>
              <w:t>23,543</w:t>
            </w:r>
          </w:p>
        </w:tc>
      </w:tr>
      <w:tr w:rsidR="00861ACE" w:rsidRPr="00861ACE" w14:paraId="2141A344" w14:textId="77777777" w:rsidTr="00861A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FB77B" w14:textId="77777777" w:rsidR="00861ACE" w:rsidRPr="00861ACE" w:rsidRDefault="00861ACE" w:rsidP="00861ACE">
            <w:pPr>
              <w:spacing w:line="240" w:lineRule="auto"/>
              <w:rPr>
                <w:rFonts w:ascii="Times New Roman" w:eastAsia="Times New Roman" w:hAnsi="Times New Roman" w:cs="Times New Roman"/>
                <w:sz w:val="24"/>
                <w:szCs w:val="24"/>
                <w:lang w:val="en-PH" w:eastAsia="en-PH"/>
              </w:rPr>
            </w:pPr>
            <w:r w:rsidRPr="00861ACE">
              <w:rPr>
                <w:rFonts w:eastAsia="Times New Roman"/>
                <w:color w:val="000000"/>
                <w:sz w:val="24"/>
                <w:szCs w:val="24"/>
                <w:lang w:val="en-PH" w:eastAsia="en-PH"/>
              </w:rPr>
              <w:t>Educational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EB9EF"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color w:val="000000"/>
                <w:lang w:val="en-PH" w:eastAsia="en-PH"/>
              </w:rPr>
              <w:t>2,850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BFCDE7"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color w:val="000000"/>
                <w:lang w:val="en-PH" w:eastAsia="en-PH"/>
              </w:rPr>
              <w:t>5,020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4B0D14"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bCs/>
                <w:color w:val="000000"/>
                <w:lang w:val="en-PH" w:eastAsia="en-PH"/>
              </w:rPr>
              <w:t>7,870</w:t>
            </w:r>
          </w:p>
        </w:tc>
      </w:tr>
      <w:tr w:rsidR="00861ACE" w:rsidRPr="00861ACE" w14:paraId="17BCB95C" w14:textId="77777777" w:rsidTr="00861A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129DD" w14:textId="77777777" w:rsidR="00861ACE" w:rsidRPr="00861ACE" w:rsidRDefault="00861ACE" w:rsidP="00861ACE">
            <w:pPr>
              <w:spacing w:line="240" w:lineRule="auto"/>
              <w:rPr>
                <w:rFonts w:ascii="Times New Roman" w:eastAsia="Times New Roman" w:hAnsi="Times New Roman" w:cs="Times New Roman"/>
                <w:sz w:val="24"/>
                <w:szCs w:val="24"/>
                <w:lang w:val="en-PH" w:eastAsia="en-PH"/>
              </w:rPr>
            </w:pPr>
            <w:r w:rsidRPr="00861ACE">
              <w:rPr>
                <w:rFonts w:eastAsia="Times New Roman"/>
                <w:color w:val="000000"/>
                <w:sz w:val="24"/>
                <w:szCs w:val="24"/>
                <w:lang w:val="en-PH" w:eastAsia="en-PH"/>
              </w:rPr>
              <w:t>Transportation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FEC0A"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color w:val="000000"/>
                <w:lang w:val="en-PH" w:eastAsia="en-PH"/>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1EECB6"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color w:val="000000"/>
                <w:lang w:val="en-PH" w:eastAsia="en-PH"/>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6BDAFB"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bCs/>
                <w:color w:val="000000"/>
                <w:lang w:val="en-PH" w:eastAsia="en-PH"/>
              </w:rPr>
              <w:t>112</w:t>
            </w:r>
          </w:p>
        </w:tc>
      </w:tr>
      <w:tr w:rsidR="00861ACE" w:rsidRPr="00861ACE" w14:paraId="78EEA887" w14:textId="77777777" w:rsidTr="00861A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FC0BC" w14:textId="77777777" w:rsidR="00861ACE" w:rsidRPr="00861ACE" w:rsidRDefault="00861ACE" w:rsidP="00861ACE">
            <w:pPr>
              <w:spacing w:line="240" w:lineRule="auto"/>
              <w:rPr>
                <w:rFonts w:ascii="Times New Roman" w:eastAsia="Times New Roman" w:hAnsi="Times New Roman" w:cs="Times New Roman"/>
                <w:sz w:val="24"/>
                <w:szCs w:val="24"/>
                <w:lang w:val="en-PH" w:eastAsia="en-PH"/>
              </w:rPr>
            </w:pPr>
            <w:r w:rsidRPr="00861ACE">
              <w:rPr>
                <w:rFonts w:eastAsia="Times New Roman"/>
                <w:color w:val="000000"/>
                <w:sz w:val="24"/>
                <w:szCs w:val="24"/>
                <w:lang w:val="en-PH" w:eastAsia="en-PH"/>
              </w:rPr>
              <w:t>Burial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31BC9E"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color w:val="000000"/>
                <w:lang w:val="en-PH" w:eastAsia="en-PH"/>
              </w:rPr>
              <w:t>798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1DEED1"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color w:val="000000"/>
                <w:lang w:val="en-PH" w:eastAsia="en-PH"/>
              </w:rPr>
              <w:t>1,838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5F6D3D"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bCs/>
                <w:color w:val="000000"/>
                <w:lang w:val="en-PH" w:eastAsia="en-PH"/>
              </w:rPr>
              <w:t>2,636</w:t>
            </w:r>
          </w:p>
        </w:tc>
      </w:tr>
      <w:tr w:rsidR="00861ACE" w:rsidRPr="00861ACE" w14:paraId="46E15201" w14:textId="77777777" w:rsidTr="00861A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44E68" w14:textId="77777777" w:rsidR="00861ACE" w:rsidRPr="00861ACE" w:rsidRDefault="00861ACE" w:rsidP="00861ACE">
            <w:pPr>
              <w:spacing w:line="240" w:lineRule="auto"/>
              <w:rPr>
                <w:rFonts w:ascii="Times New Roman" w:eastAsia="Times New Roman" w:hAnsi="Times New Roman" w:cs="Times New Roman"/>
                <w:sz w:val="24"/>
                <w:szCs w:val="24"/>
                <w:lang w:val="en-PH" w:eastAsia="en-PH"/>
              </w:rPr>
            </w:pPr>
            <w:r w:rsidRPr="00861ACE">
              <w:rPr>
                <w:rFonts w:eastAsia="Times New Roman"/>
                <w:color w:val="000000"/>
                <w:sz w:val="24"/>
                <w:szCs w:val="24"/>
                <w:lang w:val="en-PH" w:eastAsia="en-PH"/>
              </w:rPr>
              <w:t>Food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0E64A"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color w:val="000000"/>
                <w:lang w:val="en-PH" w:eastAsia="en-PH"/>
              </w:rPr>
              <w:t>37,789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8F7E20"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color w:val="000000"/>
                <w:lang w:val="en-PH" w:eastAsia="en-PH"/>
              </w:rPr>
              <w:t>35,778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E651EA"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bCs/>
                <w:color w:val="000000"/>
                <w:lang w:val="en-PH" w:eastAsia="en-PH"/>
              </w:rPr>
              <w:t>73,567</w:t>
            </w:r>
          </w:p>
        </w:tc>
      </w:tr>
      <w:tr w:rsidR="00861ACE" w:rsidRPr="00861ACE" w14:paraId="37D34233" w14:textId="77777777" w:rsidTr="00861A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3BB97" w14:textId="77777777" w:rsidR="00861ACE" w:rsidRPr="00861ACE" w:rsidRDefault="00861ACE" w:rsidP="00861ACE">
            <w:pPr>
              <w:spacing w:line="240" w:lineRule="auto"/>
              <w:rPr>
                <w:rFonts w:ascii="Times New Roman" w:eastAsia="Times New Roman" w:hAnsi="Times New Roman" w:cs="Times New Roman"/>
                <w:sz w:val="24"/>
                <w:szCs w:val="24"/>
                <w:lang w:val="en-PH" w:eastAsia="en-PH"/>
              </w:rPr>
            </w:pPr>
            <w:r w:rsidRPr="00861ACE">
              <w:rPr>
                <w:rFonts w:eastAsia="Times New Roman"/>
                <w:color w:val="000000"/>
                <w:sz w:val="24"/>
                <w:szCs w:val="24"/>
                <w:lang w:val="en-PH" w:eastAsia="en-PH"/>
              </w:rPr>
              <w:t>Cash assistance for other Support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1077C9"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color w:val="000000"/>
                <w:lang w:val="en-PH" w:eastAsia="en-PH"/>
              </w:rPr>
              <w:t>13,945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00B06"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color w:val="000000"/>
                <w:lang w:val="en-PH" w:eastAsia="en-PH"/>
              </w:rPr>
              <w:t>13,385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43B713"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bCs/>
                <w:color w:val="000000"/>
                <w:lang w:val="en-PH" w:eastAsia="en-PH"/>
              </w:rPr>
              <w:t>27,330</w:t>
            </w:r>
          </w:p>
        </w:tc>
      </w:tr>
      <w:tr w:rsidR="00861ACE" w:rsidRPr="00861ACE" w14:paraId="2BA6465B" w14:textId="77777777" w:rsidTr="00861A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F6064" w14:textId="77777777" w:rsidR="00861ACE" w:rsidRPr="00861ACE" w:rsidRDefault="00861ACE" w:rsidP="00861ACE">
            <w:pPr>
              <w:spacing w:line="240" w:lineRule="auto"/>
              <w:rPr>
                <w:rFonts w:ascii="Times New Roman" w:eastAsia="Times New Roman" w:hAnsi="Times New Roman" w:cs="Times New Roman"/>
                <w:sz w:val="24"/>
                <w:szCs w:val="24"/>
                <w:lang w:val="en-PH" w:eastAsia="en-PH"/>
              </w:rPr>
            </w:pPr>
            <w:r w:rsidRPr="00861ACE">
              <w:rPr>
                <w:rFonts w:eastAsia="Times New Roman"/>
                <w:bCs/>
                <w:color w:val="000000"/>
                <w:sz w:val="24"/>
                <w:szCs w:val="24"/>
                <w:lang w:val="en-PH" w:eastAsia="en-PH"/>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41A935"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bCs/>
                <w:color w:val="000000"/>
                <w:lang w:val="en-PH" w:eastAsia="en-PH"/>
              </w:rPr>
              <w:t>61,877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0517AC"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bCs/>
                <w:color w:val="000000"/>
                <w:lang w:val="en-PH" w:eastAsia="en-PH"/>
              </w:rPr>
              <w:t>73,181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69C48E" w14:textId="77777777" w:rsidR="00861ACE" w:rsidRPr="00861ACE" w:rsidRDefault="00861ACE" w:rsidP="00861ACE">
            <w:pPr>
              <w:spacing w:line="240" w:lineRule="auto"/>
              <w:jc w:val="center"/>
              <w:rPr>
                <w:rFonts w:ascii="Times New Roman" w:eastAsia="Times New Roman" w:hAnsi="Times New Roman" w:cs="Times New Roman"/>
                <w:sz w:val="24"/>
                <w:szCs w:val="24"/>
                <w:lang w:val="en-PH" w:eastAsia="en-PH"/>
              </w:rPr>
            </w:pPr>
            <w:r w:rsidRPr="00861ACE">
              <w:rPr>
                <w:rFonts w:eastAsia="Times New Roman"/>
                <w:bCs/>
                <w:color w:val="000000"/>
                <w:lang w:val="en-PH" w:eastAsia="en-PH"/>
              </w:rPr>
              <w:t>135,058</w:t>
            </w:r>
          </w:p>
        </w:tc>
      </w:tr>
    </w:tbl>
    <w:p w14:paraId="24E5E64B" w14:textId="77777777" w:rsidR="008E225C" w:rsidRDefault="008E225C" w:rsidP="008E225C">
      <w:pPr>
        <w:jc w:val="both"/>
      </w:pPr>
    </w:p>
    <w:p w14:paraId="22C0832F" w14:textId="77777777" w:rsidR="008E225C" w:rsidRDefault="00861ACE" w:rsidP="008E225C">
      <w:pPr>
        <w:jc w:val="both"/>
      </w:pPr>
      <w:r w:rsidRPr="00861ACE">
        <w:t>As shown in the above table, Medical assistance was extended to 23,543 clients</w:t>
      </w:r>
      <w:r>
        <w:t>,</w:t>
      </w:r>
      <w:r w:rsidRPr="00861ACE">
        <w:t xml:space="preserve"> or 17.43%.</w:t>
      </w:r>
      <w:r>
        <w:t xml:space="preserve"> </w:t>
      </w:r>
      <w:r w:rsidRPr="00861ACE">
        <w:t xml:space="preserve">The majority of clients who receive this type of assistance are dialysis patients, chemotherapy patients, mentally challenged individuals, clients with chronic illnesses, and those undergoing therapy. The </w:t>
      </w:r>
      <w:r>
        <w:t>program</w:t>
      </w:r>
      <w:r w:rsidRPr="00861ACE">
        <w:t xml:space="preserve"> is constantly coordinating with Local Government Units for other needs and monitoring. There were 7,870 clients, or 5.83 percent, who received educational assistance for their children's online and face-to-face classes. Instead of clients and students coming to the office, educational assistance payments were made in the various municipalities.</w:t>
      </w:r>
      <w:r>
        <w:t xml:space="preserve"> </w:t>
      </w:r>
      <w:r w:rsidRPr="00861ACE">
        <w:t xml:space="preserve">The MSWDO staff assisted with the assessment, which resulted in a more systematic </w:t>
      </w:r>
      <w:r>
        <w:t>payout</w:t>
      </w:r>
      <w:r w:rsidRPr="00861ACE">
        <w:t>. A total of 2,636 clients, or 1.95 percent, received burial assistance to help with the costs of their loved ones' and relatives' funerals. Clients were also assisted with cadaver transfer. Due to the lack of medical facilities in the province, 112 clients (or 0.08 percent) were provided transportation to Manila for additional medication, primarily at the Philippine Heart Center and National Kidney Institute. Other clients were helped with transportation back to their respective families.</w:t>
      </w:r>
    </w:p>
    <w:p w14:paraId="4E75592F" w14:textId="77777777" w:rsidR="00861ACE" w:rsidRDefault="00861ACE" w:rsidP="008E225C">
      <w:pPr>
        <w:jc w:val="both"/>
      </w:pPr>
    </w:p>
    <w:p w14:paraId="06EB3DA0" w14:textId="77777777" w:rsidR="00861ACE" w:rsidRPr="00861ACE" w:rsidRDefault="00861ACE" w:rsidP="00861ACE">
      <w:pPr>
        <w:spacing w:line="240" w:lineRule="auto"/>
        <w:rPr>
          <w:b/>
        </w:rPr>
      </w:pPr>
      <w:r>
        <w:rPr>
          <w:b/>
        </w:rPr>
        <w:t xml:space="preserve">2.8. </w:t>
      </w:r>
      <w:r w:rsidRPr="00861ACE">
        <w:rPr>
          <w:b/>
        </w:rPr>
        <w:t>Alternative Family Care Program</w:t>
      </w:r>
    </w:p>
    <w:p w14:paraId="09A7E152" w14:textId="77777777" w:rsidR="00861ACE" w:rsidRDefault="00861ACE" w:rsidP="00861ACE">
      <w:pPr>
        <w:spacing w:before="240" w:after="240"/>
        <w:jc w:val="both"/>
        <w:rPr>
          <w:color w:val="000000"/>
        </w:rPr>
      </w:pPr>
      <w:r w:rsidRPr="00861ACE">
        <w:rPr>
          <w:color w:val="000000"/>
        </w:rPr>
        <w:t>The Alternative Family Care Program of the Department, through the enactment of R.A. 8552 or the Domestic Adoption Act, R.A. 9523 or Issuance of Certification Declaring a Child Legally Available for Adoption, and R.A. 10165 or the Foster Care Act, provides children with opportunities to be part of a new family by either placing them for adoption or foster care.</w:t>
      </w:r>
    </w:p>
    <w:p w14:paraId="087BB121" w14:textId="77777777" w:rsidR="00861ACE" w:rsidRPr="006A53F7" w:rsidRDefault="00861ACE" w:rsidP="00861ACE">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The Adoption Resource and Referral Section (ARRS) has remained committed to ensuring the effective and efficient implementation of the alternative family care program in the region. </w:t>
      </w:r>
    </w:p>
    <w:p w14:paraId="0C46E428" w14:textId="77777777" w:rsidR="00861ACE" w:rsidRPr="006A53F7" w:rsidRDefault="00861ACE" w:rsidP="00861ACE">
      <w:pPr>
        <w:spacing w:line="240" w:lineRule="auto"/>
        <w:rPr>
          <w:rFonts w:ascii="Times New Roman" w:eastAsia="Times New Roman" w:hAnsi="Times New Roman" w:cs="Times New Roman"/>
          <w:lang w:val="en-PH" w:eastAsia="en-PH"/>
        </w:rPr>
      </w:pPr>
    </w:p>
    <w:p w14:paraId="16AB899B" w14:textId="77777777" w:rsidR="00861ACE" w:rsidRPr="006A53F7" w:rsidRDefault="00861ACE" w:rsidP="00861ACE">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lastRenderedPageBreak/>
        <w:t>For this semester, various activities were undertaken for the adoption and foster care program. Despite the COVID-19 pandemic, continuous provision of technical assistance was ensured to equip social workers from the Child Caring Agencies (CCAs), Residential Care Facilities (RCFs) and the Local Social Welfare and Development Offices in handling cases of children eligible for alternative placement.  </w:t>
      </w:r>
    </w:p>
    <w:p w14:paraId="4DCAC631" w14:textId="77777777" w:rsidR="00861ACE" w:rsidRPr="006A53F7" w:rsidRDefault="00861ACE" w:rsidP="00861ACE">
      <w:pPr>
        <w:spacing w:line="240" w:lineRule="auto"/>
        <w:rPr>
          <w:rFonts w:ascii="Times New Roman" w:eastAsia="Times New Roman" w:hAnsi="Times New Roman" w:cs="Times New Roman"/>
          <w:lang w:val="en-PH" w:eastAsia="en-PH"/>
        </w:rPr>
      </w:pPr>
    </w:p>
    <w:p w14:paraId="77221931" w14:textId="77777777" w:rsidR="00861ACE" w:rsidRPr="006A53F7" w:rsidRDefault="00861ACE" w:rsidP="00861ACE">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 xml:space="preserve">This semester, the transition team for the Regional Alternative Child Care Office was also created pursuant to the implementation of Section 56 of the Republic Act No, 11642 or the Domestic Administrative Adoption and Child Care Act of 2022.  The Ceremonial Signing of the Implementing Rules and Regulation of the said act was also conducted. </w:t>
      </w:r>
    </w:p>
    <w:p w14:paraId="722D735F" w14:textId="77777777" w:rsidR="00861ACE" w:rsidRPr="006A53F7" w:rsidRDefault="00861ACE" w:rsidP="00861ACE">
      <w:pPr>
        <w:spacing w:line="240" w:lineRule="auto"/>
        <w:rPr>
          <w:rFonts w:eastAsia="Times New Roman"/>
          <w:b/>
          <w:bCs/>
          <w:color w:val="000000"/>
          <w:lang w:val="en-PH" w:eastAsia="en-PH"/>
        </w:rPr>
      </w:pPr>
    </w:p>
    <w:p w14:paraId="54AFE60B" w14:textId="77777777" w:rsidR="00861ACE" w:rsidRPr="006A53F7" w:rsidRDefault="00861ACE" w:rsidP="00861ACE">
      <w:pPr>
        <w:spacing w:line="240" w:lineRule="auto"/>
        <w:rPr>
          <w:rFonts w:ascii="Times New Roman" w:eastAsia="Times New Roman" w:hAnsi="Times New Roman" w:cs="Times New Roman"/>
          <w:lang w:val="en-PH" w:eastAsia="en-PH"/>
        </w:rPr>
      </w:pPr>
      <w:r w:rsidRPr="006A53F7">
        <w:rPr>
          <w:rFonts w:eastAsia="Times New Roman"/>
          <w:b/>
          <w:bCs/>
          <w:color w:val="000000"/>
          <w:lang w:val="en-PH" w:eastAsia="en-PH"/>
        </w:rPr>
        <w:t>A.1. Children Issued with Certification Declaring a Child Legally Available for Adoption (CDCLAA)</w:t>
      </w:r>
    </w:p>
    <w:p w14:paraId="7B190870" w14:textId="77777777" w:rsidR="00861ACE" w:rsidRPr="006A53F7" w:rsidRDefault="00861ACE" w:rsidP="00861ACE">
      <w:pPr>
        <w:spacing w:line="240" w:lineRule="auto"/>
        <w:rPr>
          <w:rFonts w:ascii="Times New Roman" w:eastAsia="Times New Roman" w:hAnsi="Times New Roman" w:cs="Times New Roman"/>
          <w:lang w:val="en-PH" w:eastAsia="en-PH"/>
        </w:rPr>
      </w:pPr>
    </w:p>
    <w:p w14:paraId="0A65A5BB" w14:textId="77777777" w:rsidR="00861ACE" w:rsidRPr="006A53F7" w:rsidRDefault="00861ACE" w:rsidP="00861ACE">
      <w:pPr>
        <w:spacing w:after="160" w:line="240" w:lineRule="auto"/>
        <w:ind w:left="-2" w:hanging="2"/>
        <w:jc w:val="both"/>
        <w:rPr>
          <w:rFonts w:ascii="Times New Roman" w:eastAsia="Times New Roman" w:hAnsi="Times New Roman" w:cs="Times New Roman"/>
          <w:lang w:val="en-PH" w:eastAsia="en-PH"/>
        </w:rPr>
      </w:pPr>
      <w:r w:rsidRPr="006A53F7">
        <w:rPr>
          <w:rFonts w:eastAsia="Times New Roman"/>
          <w:color w:val="000000"/>
          <w:lang w:val="en-PH" w:eastAsia="en-PH"/>
        </w:rPr>
        <w:t xml:space="preserve">No. of Accomplishment vs. Target for CY 2022:    </w:t>
      </w:r>
      <w:r w:rsidRPr="006A53F7">
        <w:rPr>
          <w:rFonts w:eastAsia="Times New Roman"/>
          <w:color w:val="000000"/>
          <w:u w:val="single"/>
          <w:lang w:val="en-PH" w:eastAsia="en-PH"/>
        </w:rPr>
        <w:t>  1/16</w:t>
      </w:r>
      <w:r w:rsidRPr="006A53F7">
        <w:rPr>
          <w:rFonts w:eastAsia="Times New Roman"/>
          <w:color w:val="000000"/>
          <w:lang w:val="en-PH" w:eastAsia="en-PH"/>
        </w:rPr>
        <w:t>_ No. of Variance: _</w:t>
      </w:r>
      <w:r w:rsidRPr="006A53F7">
        <w:rPr>
          <w:rFonts w:eastAsia="Times New Roman"/>
          <w:color w:val="000000"/>
          <w:u w:val="single"/>
          <w:lang w:val="en-PH" w:eastAsia="en-PH"/>
        </w:rPr>
        <w:t>-15</w:t>
      </w:r>
      <w:r w:rsidRPr="006A53F7">
        <w:rPr>
          <w:rFonts w:eastAsia="Times New Roman"/>
          <w:color w:val="000000"/>
          <w:lang w:val="en-PH" w:eastAsia="en-PH"/>
        </w:rPr>
        <w:t>_</w:t>
      </w:r>
    </w:p>
    <w:p w14:paraId="78939FEB" w14:textId="77777777" w:rsidR="00861ACE" w:rsidRPr="006A53F7" w:rsidRDefault="00861ACE" w:rsidP="00861ACE">
      <w:pPr>
        <w:spacing w:line="240" w:lineRule="auto"/>
        <w:ind w:left="-2" w:hanging="2"/>
        <w:jc w:val="both"/>
        <w:rPr>
          <w:rFonts w:ascii="Times New Roman" w:eastAsia="Times New Roman" w:hAnsi="Times New Roman" w:cs="Times New Roman"/>
          <w:lang w:val="en-PH" w:eastAsia="en-PH"/>
        </w:rPr>
      </w:pPr>
      <w:r w:rsidRPr="006A53F7">
        <w:rPr>
          <w:rFonts w:eastAsia="Times New Roman"/>
          <w:b/>
          <w:bCs/>
          <w:color w:val="000000"/>
          <w:lang w:val="en-PH" w:eastAsia="en-PH"/>
        </w:rPr>
        <w:t xml:space="preserve">   </w:t>
      </w:r>
      <w:r w:rsidRPr="006A53F7">
        <w:rPr>
          <w:rFonts w:eastAsia="Times New Roman"/>
          <w:color w:val="000000"/>
          <w:lang w:val="en-PH" w:eastAsia="en-PH"/>
        </w:rPr>
        <w:t xml:space="preserve">For this semester, </w:t>
      </w:r>
      <w:r w:rsidRPr="006A53F7">
        <w:rPr>
          <w:rFonts w:eastAsia="Times New Roman"/>
          <w:b/>
          <w:bCs/>
          <w:color w:val="000000"/>
          <w:lang w:val="en-PH" w:eastAsia="en-PH"/>
        </w:rPr>
        <w:t>one (1) child was issued with CDCLAA</w:t>
      </w:r>
      <w:r w:rsidRPr="006A53F7">
        <w:rPr>
          <w:rFonts w:eastAsia="Times New Roman"/>
          <w:color w:val="000000"/>
          <w:lang w:val="en-PH" w:eastAsia="en-PH"/>
        </w:rPr>
        <w:t>. Of the sixteen (16) children on-process for the issuance of CDCLAA from the CCAs and RCFs, twelve (12) dossiers were returned due to inconsistent and lacking information/documents for compliance of respective case managers and to be submitted after 15 days upon receipt of memo from ARRS in order to endorse their dossier to the Central Office. </w:t>
      </w:r>
    </w:p>
    <w:p w14:paraId="526AE1EC" w14:textId="77777777" w:rsidR="00861ACE" w:rsidRPr="006A53F7" w:rsidRDefault="00861ACE" w:rsidP="00861ACE">
      <w:pPr>
        <w:spacing w:line="240" w:lineRule="auto"/>
        <w:rPr>
          <w:rFonts w:ascii="Times New Roman" w:eastAsia="Times New Roman" w:hAnsi="Times New Roman" w:cs="Times New Roman"/>
          <w:lang w:val="en-PH" w:eastAsia="en-PH"/>
        </w:rPr>
      </w:pPr>
    </w:p>
    <w:p w14:paraId="6969F5C5" w14:textId="77777777" w:rsidR="00861ACE" w:rsidRPr="006A53F7" w:rsidRDefault="00861ACE" w:rsidP="00861ACE">
      <w:pPr>
        <w:spacing w:line="240" w:lineRule="auto"/>
        <w:ind w:left="-2" w:hanging="2"/>
        <w:jc w:val="both"/>
        <w:rPr>
          <w:rFonts w:ascii="Times New Roman" w:eastAsia="Times New Roman" w:hAnsi="Times New Roman" w:cs="Times New Roman"/>
          <w:lang w:val="en-PH" w:eastAsia="en-PH"/>
        </w:rPr>
      </w:pPr>
      <w:r w:rsidRPr="006A53F7">
        <w:rPr>
          <w:rFonts w:eastAsia="Times New Roman"/>
          <w:b/>
          <w:bCs/>
          <w:color w:val="000000"/>
          <w:lang w:val="en-PH" w:eastAsia="en-PH"/>
        </w:rPr>
        <w:t> Pre-Adoption Placement Authority (PAPA)/ Certificate of Consent to Adoption</w:t>
      </w:r>
    </w:p>
    <w:p w14:paraId="21067B02" w14:textId="77777777" w:rsidR="00861ACE" w:rsidRPr="006A53F7" w:rsidRDefault="00861ACE" w:rsidP="00861ACE">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 </w:t>
      </w:r>
    </w:p>
    <w:p w14:paraId="10A9B98C" w14:textId="77777777" w:rsidR="00861ACE" w:rsidRPr="006A53F7" w:rsidRDefault="00861ACE" w:rsidP="00861ACE">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Five (5) children</w:t>
      </w:r>
      <w:r w:rsidRPr="006A53F7">
        <w:rPr>
          <w:rFonts w:eastAsia="Times New Roman"/>
          <w:color w:val="000000"/>
          <w:lang w:val="en-PH" w:eastAsia="en-PH"/>
        </w:rPr>
        <w:t xml:space="preserve"> were issued with Pre-Adoption Placement Authorities. </w:t>
      </w:r>
    </w:p>
    <w:p w14:paraId="5A3FDDB7" w14:textId="77777777" w:rsidR="00861ACE" w:rsidRPr="006A53F7" w:rsidRDefault="00861ACE" w:rsidP="00861ACE">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The cases were presented during the Regional Matching Conference on December 15, 2021 (1 child), April 19, 2022 (3 children) and June 7, 2022 (1 child). </w:t>
      </w:r>
    </w:p>
    <w:p w14:paraId="5F29959D" w14:textId="77777777" w:rsidR="00861ACE" w:rsidRPr="006A53F7" w:rsidRDefault="00861ACE" w:rsidP="00861ACE">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  </w:t>
      </w:r>
      <w:r w:rsidRPr="006A53F7">
        <w:rPr>
          <w:rFonts w:eastAsia="Times New Roman"/>
          <w:b/>
          <w:bCs/>
          <w:color w:val="000000"/>
          <w:lang w:val="en-PH" w:eastAsia="en-PH"/>
        </w:rPr>
        <w:br/>
        <w:t xml:space="preserve">One (1) regular adoptive parent was developed. </w:t>
      </w:r>
      <w:r w:rsidRPr="006A53F7">
        <w:rPr>
          <w:rFonts w:eastAsia="Times New Roman"/>
          <w:color w:val="000000"/>
          <w:lang w:val="en-PH" w:eastAsia="en-PH"/>
        </w:rPr>
        <w:t>The case was presented on June 7, 2022 during the Regional Matching Conference but no child was matched to them. </w:t>
      </w:r>
    </w:p>
    <w:p w14:paraId="595D8399" w14:textId="77777777" w:rsidR="00861ACE" w:rsidRPr="006A53F7" w:rsidRDefault="00861ACE" w:rsidP="00861ACE">
      <w:pPr>
        <w:spacing w:line="240" w:lineRule="auto"/>
        <w:rPr>
          <w:rFonts w:ascii="Times New Roman" w:eastAsia="Times New Roman" w:hAnsi="Times New Roman" w:cs="Times New Roman"/>
          <w:lang w:val="en-PH" w:eastAsia="en-PH"/>
        </w:rPr>
      </w:pPr>
    </w:p>
    <w:p w14:paraId="738E5D12" w14:textId="77777777" w:rsidR="00861ACE" w:rsidRPr="006A53F7" w:rsidRDefault="00861ACE" w:rsidP="00861ACE">
      <w:pPr>
        <w:shd w:val="clear" w:color="auto" w:fill="FFFFFF"/>
        <w:spacing w:line="240" w:lineRule="auto"/>
        <w:ind w:left="-2" w:hanging="2"/>
        <w:jc w:val="both"/>
        <w:rPr>
          <w:rFonts w:ascii="Times New Roman" w:eastAsia="Times New Roman" w:hAnsi="Times New Roman" w:cs="Times New Roman"/>
          <w:lang w:val="en-PH" w:eastAsia="en-PH"/>
        </w:rPr>
      </w:pPr>
    </w:p>
    <w:p w14:paraId="3795693C" w14:textId="77777777" w:rsidR="00861ACE" w:rsidRPr="006A53F7" w:rsidRDefault="00861ACE" w:rsidP="00861ACE">
      <w:pPr>
        <w:shd w:val="clear" w:color="auto" w:fill="FFFFFF"/>
        <w:spacing w:line="240" w:lineRule="auto"/>
        <w:ind w:left="-2" w:hanging="2"/>
        <w:jc w:val="both"/>
        <w:rPr>
          <w:rFonts w:ascii="Times New Roman" w:eastAsia="Times New Roman" w:hAnsi="Times New Roman" w:cs="Times New Roman"/>
          <w:lang w:val="en-PH" w:eastAsia="en-PH"/>
        </w:rPr>
      </w:pPr>
      <w:r w:rsidRPr="006A53F7">
        <w:rPr>
          <w:rFonts w:eastAsia="Times New Roman"/>
          <w:b/>
          <w:bCs/>
          <w:color w:val="000000"/>
          <w:lang w:val="en-PH" w:eastAsia="en-PH"/>
        </w:rPr>
        <w:t>A.2. Eligible Children Placed under Foster Care</w:t>
      </w:r>
    </w:p>
    <w:p w14:paraId="79F2F9A3" w14:textId="77777777" w:rsidR="00861ACE" w:rsidRPr="006A53F7" w:rsidRDefault="00861ACE" w:rsidP="00861ACE">
      <w:pPr>
        <w:spacing w:after="160"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 xml:space="preserve">No. of Accomplishment vs. Target for CY 2022:    </w:t>
      </w:r>
      <w:r w:rsidRPr="006A53F7">
        <w:rPr>
          <w:rFonts w:eastAsia="Times New Roman"/>
          <w:color w:val="000000"/>
          <w:u w:val="single"/>
          <w:lang w:val="en-PH" w:eastAsia="en-PH"/>
        </w:rPr>
        <w:t>  1/22</w:t>
      </w:r>
      <w:r w:rsidRPr="006A53F7">
        <w:rPr>
          <w:rFonts w:eastAsia="Times New Roman"/>
          <w:color w:val="000000"/>
          <w:lang w:val="en-PH" w:eastAsia="en-PH"/>
        </w:rPr>
        <w:t xml:space="preserve">_ No. of Variance: </w:t>
      </w:r>
      <w:r w:rsidRPr="006A53F7">
        <w:rPr>
          <w:rFonts w:eastAsia="Times New Roman"/>
          <w:color w:val="000000"/>
          <w:u w:val="single"/>
          <w:lang w:val="en-PH" w:eastAsia="en-PH"/>
        </w:rPr>
        <w:t>_-21</w:t>
      </w:r>
      <w:r w:rsidRPr="006A53F7">
        <w:rPr>
          <w:rFonts w:eastAsia="Times New Roman"/>
          <w:color w:val="000000"/>
          <w:lang w:val="en-PH" w:eastAsia="en-PH"/>
        </w:rPr>
        <w:t>_</w:t>
      </w:r>
    </w:p>
    <w:p w14:paraId="795FD00E" w14:textId="77777777" w:rsidR="00861ACE" w:rsidRPr="006A53F7" w:rsidRDefault="00861ACE" w:rsidP="00861ACE">
      <w:pPr>
        <w:shd w:val="clear" w:color="auto" w:fill="FFFFFF"/>
        <w:spacing w:line="240" w:lineRule="auto"/>
        <w:ind w:left="-2" w:hanging="2"/>
        <w:jc w:val="both"/>
        <w:rPr>
          <w:rFonts w:ascii="Times New Roman" w:eastAsia="Times New Roman" w:hAnsi="Times New Roman" w:cs="Times New Roman"/>
          <w:lang w:val="en-PH" w:eastAsia="en-PH"/>
        </w:rPr>
      </w:pPr>
      <w:r w:rsidRPr="006A53F7">
        <w:rPr>
          <w:rFonts w:ascii="Times New Roman" w:eastAsia="Times New Roman" w:hAnsi="Times New Roman" w:cs="Times New Roman"/>
          <w:lang w:val="en-PH" w:eastAsia="en-PH"/>
        </w:rPr>
        <w:t> </w:t>
      </w:r>
    </w:p>
    <w:p w14:paraId="6BBDB460" w14:textId="77777777" w:rsidR="00861ACE" w:rsidRPr="006A53F7" w:rsidRDefault="00861ACE" w:rsidP="00861ACE">
      <w:pPr>
        <w:spacing w:after="160" w:line="240" w:lineRule="auto"/>
        <w:ind w:left="-2" w:hanging="2"/>
        <w:jc w:val="both"/>
        <w:rPr>
          <w:rFonts w:ascii="Times New Roman" w:eastAsia="Times New Roman" w:hAnsi="Times New Roman" w:cs="Times New Roman"/>
          <w:lang w:val="en-PH" w:eastAsia="en-PH"/>
        </w:rPr>
      </w:pPr>
      <w:r w:rsidRPr="006A53F7">
        <w:rPr>
          <w:rFonts w:eastAsia="Times New Roman"/>
          <w:b/>
          <w:bCs/>
          <w:color w:val="000000"/>
          <w:lang w:val="en-PH" w:eastAsia="en-PH"/>
        </w:rPr>
        <w:t xml:space="preserve">One (1) child was placed under the care of a licensed foster parent </w:t>
      </w:r>
      <w:r w:rsidRPr="006A53F7">
        <w:rPr>
          <w:rFonts w:eastAsia="Times New Roman"/>
          <w:color w:val="000000"/>
          <w:lang w:val="en-PH" w:eastAsia="en-PH"/>
        </w:rPr>
        <w:t>through emergency placement on February 4, 2022 but was transferred to the Regional Haven for Women and Girls (RHWG) on the same month. </w:t>
      </w:r>
    </w:p>
    <w:p w14:paraId="67BDBA7D" w14:textId="77777777" w:rsidR="00861ACE" w:rsidRPr="006A53F7" w:rsidRDefault="00861ACE" w:rsidP="00861ACE">
      <w:pPr>
        <w:spacing w:after="160" w:line="240" w:lineRule="auto"/>
        <w:ind w:left="-2" w:hanging="2"/>
        <w:jc w:val="both"/>
        <w:rPr>
          <w:rFonts w:ascii="Times New Roman" w:eastAsia="Times New Roman" w:hAnsi="Times New Roman" w:cs="Times New Roman"/>
          <w:lang w:val="en-PH" w:eastAsia="en-PH"/>
        </w:rPr>
      </w:pPr>
      <w:r w:rsidRPr="006A53F7">
        <w:rPr>
          <w:rFonts w:eastAsia="Times New Roman"/>
          <w:color w:val="000000"/>
          <w:lang w:val="en-PH" w:eastAsia="en-PH"/>
        </w:rPr>
        <w:t xml:space="preserve">On the other hand, </w:t>
      </w:r>
      <w:r w:rsidRPr="006A53F7">
        <w:rPr>
          <w:rFonts w:eastAsia="Times New Roman"/>
          <w:b/>
          <w:bCs/>
          <w:color w:val="000000"/>
          <w:lang w:val="en-PH" w:eastAsia="en-PH"/>
        </w:rPr>
        <w:t xml:space="preserve">five (5) foster children were discharged from foster care. </w:t>
      </w:r>
      <w:r w:rsidRPr="006A53F7">
        <w:rPr>
          <w:rFonts w:eastAsia="Times New Roman"/>
          <w:color w:val="000000"/>
          <w:lang w:val="en-PH" w:eastAsia="en-PH"/>
        </w:rPr>
        <w:t>Of the five discharge foster children,</w:t>
      </w:r>
      <w:r w:rsidRPr="006A53F7">
        <w:rPr>
          <w:rFonts w:eastAsia="Times New Roman"/>
          <w:b/>
          <w:bCs/>
          <w:color w:val="000000"/>
          <w:lang w:val="en-PH" w:eastAsia="en-PH"/>
        </w:rPr>
        <w:t xml:space="preserve"> </w:t>
      </w:r>
      <w:r w:rsidRPr="006A53F7">
        <w:rPr>
          <w:rFonts w:eastAsia="Times New Roman"/>
          <w:color w:val="000000"/>
          <w:lang w:val="en-PH" w:eastAsia="en-PH"/>
        </w:rPr>
        <w:t>one child was transferred to RHWG, two children was placed to their adoptive parents and two children for independent living. To date, there are 58 foster children (21 male and 37 female). Fifty-six (56) are under foster care and two (2) are available for matching. Forty (40) were assessed by ARRS/SWAD Teams, eight (8) by LGUs, and ten (10) by RSSC.</w:t>
      </w:r>
    </w:p>
    <w:p w14:paraId="74A831BC" w14:textId="77777777" w:rsidR="00861ACE" w:rsidRPr="006A53F7" w:rsidRDefault="00861ACE" w:rsidP="00861ACE">
      <w:pPr>
        <w:spacing w:line="240" w:lineRule="auto"/>
        <w:rPr>
          <w:rFonts w:ascii="Times New Roman" w:eastAsia="Times New Roman" w:hAnsi="Times New Roman" w:cs="Times New Roman"/>
          <w:lang w:val="en-PH" w:eastAsia="en-PH"/>
        </w:rPr>
      </w:pPr>
    </w:p>
    <w:p w14:paraId="738901D0" w14:textId="77777777" w:rsidR="00861ACE" w:rsidRPr="006A53F7" w:rsidRDefault="00861ACE" w:rsidP="00861ACE">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 xml:space="preserve"> ARRS Social Workers facilitated </w:t>
      </w:r>
      <w:r w:rsidRPr="006A53F7">
        <w:rPr>
          <w:rFonts w:eastAsia="Times New Roman"/>
          <w:b/>
          <w:bCs/>
          <w:color w:val="000000"/>
          <w:lang w:val="en-PH" w:eastAsia="en-PH"/>
        </w:rPr>
        <w:t>renewal of seven (7) Family Foster    Care Licenses and sixteen (16) Foster Placement Authorities</w:t>
      </w:r>
      <w:r w:rsidRPr="006A53F7">
        <w:rPr>
          <w:rFonts w:eastAsia="Times New Roman"/>
          <w:color w:val="000000"/>
          <w:lang w:val="en-PH" w:eastAsia="en-PH"/>
        </w:rPr>
        <w:t>. Monitoring were done through face-to-face and virtual mode and corresponding Supervisory Report on Foster Care Placement were  prepared and submitted. </w:t>
      </w:r>
    </w:p>
    <w:p w14:paraId="6A1786F7" w14:textId="77777777" w:rsidR="00861ACE" w:rsidRPr="006A53F7" w:rsidRDefault="00861ACE" w:rsidP="00861ACE">
      <w:pPr>
        <w:spacing w:after="240" w:line="240" w:lineRule="auto"/>
        <w:rPr>
          <w:rFonts w:ascii="Times New Roman" w:eastAsia="Times New Roman" w:hAnsi="Times New Roman" w:cs="Times New Roman"/>
          <w:lang w:val="en-PH" w:eastAsia="en-PH"/>
        </w:rPr>
      </w:pPr>
    </w:p>
    <w:p w14:paraId="23A19C0E" w14:textId="77777777" w:rsidR="00861ACE" w:rsidRPr="006A53F7" w:rsidRDefault="00861ACE" w:rsidP="00861ACE">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A.3.</w:t>
      </w:r>
      <w:r w:rsidRPr="006A53F7">
        <w:rPr>
          <w:rFonts w:eastAsia="Times New Roman"/>
          <w:color w:val="000000"/>
          <w:lang w:val="en-PH" w:eastAsia="en-PH"/>
        </w:rPr>
        <w:t xml:space="preserve"> </w:t>
      </w:r>
      <w:r w:rsidRPr="006A53F7">
        <w:rPr>
          <w:rFonts w:eastAsia="Times New Roman"/>
          <w:b/>
          <w:bCs/>
          <w:color w:val="000000"/>
          <w:lang w:val="en-PH" w:eastAsia="en-PH"/>
        </w:rPr>
        <w:t>Eligible Children Placed under Foster Care provided with Subsidy</w:t>
      </w:r>
    </w:p>
    <w:p w14:paraId="09EC9543" w14:textId="77777777" w:rsidR="00861ACE" w:rsidRPr="006A53F7" w:rsidRDefault="00861ACE" w:rsidP="00861ACE">
      <w:pPr>
        <w:spacing w:line="240" w:lineRule="auto"/>
        <w:rPr>
          <w:rFonts w:ascii="Times New Roman" w:eastAsia="Times New Roman" w:hAnsi="Times New Roman" w:cs="Times New Roman"/>
          <w:lang w:val="en-PH" w:eastAsia="en-PH"/>
        </w:rPr>
      </w:pPr>
    </w:p>
    <w:p w14:paraId="5426EC74" w14:textId="77777777" w:rsidR="00861ACE" w:rsidRPr="006A53F7" w:rsidRDefault="00861ACE" w:rsidP="00861ACE">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No. of Accomplishment vs. Target for CY 2022: __</w:t>
      </w:r>
      <w:r w:rsidRPr="006A53F7">
        <w:rPr>
          <w:rFonts w:eastAsia="Times New Roman"/>
          <w:color w:val="000000"/>
          <w:u w:val="single"/>
          <w:lang w:val="en-PH" w:eastAsia="en-PH"/>
        </w:rPr>
        <w:t>33/57</w:t>
      </w:r>
      <w:r w:rsidRPr="006A53F7">
        <w:rPr>
          <w:rFonts w:eastAsia="Times New Roman"/>
          <w:color w:val="000000"/>
          <w:lang w:val="en-PH" w:eastAsia="en-PH"/>
        </w:rPr>
        <w:t>__</w:t>
      </w:r>
      <w:r w:rsidRPr="006A53F7">
        <w:rPr>
          <w:rFonts w:eastAsia="Times New Roman"/>
          <w:color w:val="000000"/>
          <w:lang w:val="en-PH" w:eastAsia="en-PH"/>
        </w:rPr>
        <w:tab/>
        <w:t xml:space="preserve">No. of Variance: </w:t>
      </w:r>
      <w:r w:rsidRPr="006A53F7">
        <w:rPr>
          <w:rFonts w:eastAsia="Times New Roman"/>
          <w:color w:val="000000"/>
          <w:u w:val="single"/>
          <w:lang w:val="en-PH" w:eastAsia="en-PH"/>
        </w:rPr>
        <w:t>__-24</w:t>
      </w:r>
      <w:r w:rsidRPr="006A53F7">
        <w:rPr>
          <w:rFonts w:eastAsia="Times New Roman"/>
          <w:color w:val="000000"/>
          <w:lang w:val="en-PH" w:eastAsia="en-PH"/>
        </w:rPr>
        <w:t>__</w:t>
      </w:r>
    </w:p>
    <w:p w14:paraId="7449F20F" w14:textId="77777777" w:rsidR="00861ACE" w:rsidRPr="006A53F7" w:rsidRDefault="00861ACE" w:rsidP="00861ACE">
      <w:pPr>
        <w:spacing w:line="240" w:lineRule="auto"/>
        <w:rPr>
          <w:rFonts w:ascii="Times New Roman" w:eastAsia="Times New Roman" w:hAnsi="Times New Roman" w:cs="Times New Roman"/>
          <w:lang w:val="en-PH" w:eastAsia="en-PH"/>
        </w:rPr>
      </w:pPr>
    </w:p>
    <w:p w14:paraId="53D81412" w14:textId="77777777" w:rsidR="00861ACE" w:rsidRPr="006A53F7" w:rsidRDefault="00861ACE" w:rsidP="00861ACE">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lastRenderedPageBreak/>
        <w:t>Thirty-three (33) foster children</w:t>
      </w:r>
      <w:r w:rsidRPr="006A53F7">
        <w:rPr>
          <w:rFonts w:eastAsia="Times New Roman"/>
          <w:color w:val="000000"/>
          <w:lang w:val="en-PH" w:eastAsia="en-PH"/>
        </w:rPr>
        <w:t xml:space="preserve"> were provided with foster care subsidy amounting to ₱1,472,000 for January to June 2022. The clients are receiving subsidies through cash cards.</w:t>
      </w:r>
      <w:r w:rsidRPr="006A53F7">
        <w:rPr>
          <w:rFonts w:eastAsia="Times New Roman"/>
          <w:i/>
          <w:iCs/>
          <w:color w:val="000000"/>
          <w:lang w:val="en-PH" w:eastAsia="en-PH"/>
        </w:rPr>
        <w:t xml:space="preserve"> </w:t>
      </w:r>
    </w:p>
    <w:p w14:paraId="2386E2AA" w14:textId="77777777" w:rsidR="00861ACE" w:rsidRPr="006A53F7" w:rsidRDefault="00861ACE" w:rsidP="00861ACE">
      <w:pPr>
        <w:spacing w:line="240" w:lineRule="auto"/>
        <w:rPr>
          <w:rFonts w:ascii="Times New Roman" w:eastAsia="Times New Roman" w:hAnsi="Times New Roman" w:cs="Times New Roman"/>
          <w:lang w:val="en-PH" w:eastAsia="en-PH"/>
        </w:rPr>
      </w:pPr>
    </w:p>
    <w:p w14:paraId="08B24B5C" w14:textId="77777777" w:rsidR="00861ACE" w:rsidRPr="006A53F7" w:rsidRDefault="00861ACE" w:rsidP="00861ACE">
      <w:pPr>
        <w:spacing w:after="160" w:line="240" w:lineRule="auto"/>
        <w:jc w:val="both"/>
        <w:textAlignment w:val="baseline"/>
        <w:rPr>
          <w:rFonts w:eastAsia="Times New Roman"/>
          <w:b/>
          <w:bCs/>
          <w:color w:val="000000"/>
          <w:lang w:val="en-PH" w:eastAsia="en-PH"/>
        </w:rPr>
      </w:pPr>
      <w:r w:rsidRPr="006A53F7">
        <w:rPr>
          <w:rFonts w:eastAsia="Times New Roman"/>
          <w:b/>
          <w:bCs/>
          <w:color w:val="000000"/>
          <w:lang w:val="en-PH" w:eastAsia="en-PH"/>
        </w:rPr>
        <w:t>Inventory of Cases Received under Simulated Birth Rectification Act</w:t>
      </w:r>
    </w:p>
    <w:p w14:paraId="3B01B35B" w14:textId="77777777" w:rsidR="00861ACE" w:rsidRPr="006A53F7" w:rsidRDefault="00861ACE" w:rsidP="00861ACE">
      <w:pPr>
        <w:spacing w:line="240" w:lineRule="auto"/>
        <w:ind w:left="-2" w:hanging="2"/>
        <w:jc w:val="both"/>
        <w:rPr>
          <w:rFonts w:ascii="Times New Roman" w:eastAsia="Times New Roman" w:hAnsi="Times New Roman" w:cs="Times New Roman"/>
          <w:lang w:val="en-PH" w:eastAsia="en-PH"/>
        </w:rPr>
      </w:pPr>
      <w:r w:rsidRPr="006A53F7">
        <w:rPr>
          <w:rFonts w:eastAsia="Times New Roman"/>
          <w:color w:val="000000"/>
          <w:lang w:val="en-PH" w:eastAsia="en-PH"/>
        </w:rPr>
        <w:t>As of reporting date, there is no application received by the Field Office however, there are two (2) cases (LGU-Jones, Isabela and LGU- Gattaran, Cagayan) for processing of the issuance of CDCLAA. </w:t>
      </w:r>
    </w:p>
    <w:p w14:paraId="4B4A86F8" w14:textId="77777777" w:rsidR="008B7A66" w:rsidRPr="006A53F7" w:rsidRDefault="008B7A66" w:rsidP="008B7A66">
      <w:pPr>
        <w:spacing w:before="240" w:after="240"/>
        <w:rPr>
          <w:b/>
          <w:color w:val="000000"/>
        </w:rPr>
      </w:pPr>
      <w:r w:rsidRPr="006A53F7">
        <w:rPr>
          <w:b/>
          <w:color w:val="000000"/>
        </w:rPr>
        <w:t>2.9. Recovery and Reintegration Program for Trafficked Persons (RRPTP)</w:t>
      </w:r>
    </w:p>
    <w:p w14:paraId="0528BAEE" w14:textId="77777777" w:rsidR="00861ACE" w:rsidRDefault="008B7A66" w:rsidP="00861ACE">
      <w:pPr>
        <w:spacing w:before="240" w:after="240"/>
        <w:jc w:val="both"/>
        <w:rPr>
          <w:color w:val="000000"/>
        </w:rPr>
      </w:pPr>
      <w:r w:rsidRPr="008B7A66">
        <w:rPr>
          <w:color w:val="000000"/>
        </w:rPr>
        <w:t>The DSWD also helped trafficked persons through the Recovery and Reintegration Program for Trafficked Persons (RRPTP). It is a comprehensive program that promotes adequate recovery and reintegration services for trafficked individuals. It was able to use a multi-sectoral approach and deliver a comprehensive package of services to meet the clients' psychosocial, social, and economic needs. Under the RRPTP, DSWD FO2 has served a total of 25 trafficked persons, totaling Php 132,184.75 in financial assistance provided.</w:t>
      </w:r>
    </w:p>
    <w:p w14:paraId="0697DFFB" w14:textId="77777777" w:rsidR="008B7A66" w:rsidRPr="008B7A66" w:rsidRDefault="008B7A66" w:rsidP="008B7A66">
      <w:pPr>
        <w:spacing w:before="240" w:after="240"/>
        <w:jc w:val="both"/>
        <w:rPr>
          <w:b/>
          <w:color w:val="000000"/>
        </w:rPr>
      </w:pPr>
      <w:r w:rsidRPr="008B7A66">
        <w:rPr>
          <w:b/>
          <w:color w:val="000000"/>
        </w:rPr>
        <w:t xml:space="preserve">2.10. </w:t>
      </w:r>
      <w:r w:rsidRPr="008B7A66">
        <w:rPr>
          <w:b/>
          <w:color w:val="000000" w:themeColor="text1"/>
        </w:rPr>
        <w:t>International Social Services</w:t>
      </w:r>
    </w:p>
    <w:p w14:paraId="0B785769" w14:textId="77777777" w:rsidR="008B7A66" w:rsidRPr="0086229D" w:rsidRDefault="008B7A66" w:rsidP="008B7A66">
      <w:pPr>
        <w:spacing w:before="240" w:after="240"/>
        <w:jc w:val="both"/>
        <w:rPr>
          <w:color w:val="000000" w:themeColor="text1"/>
        </w:rPr>
      </w:pPr>
      <w:r w:rsidRPr="0086229D">
        <w:rPr>
          <w:color w:val="000000" w:themeColor="text1"/>
        </w:rPr>
        <w:t>Under RA 10022 otherwise known as the Migrant Workers and Overseas Filipinos Act of 2010, the DSWD Implemented the International Social Welfare Services for Filipino Nationals to protect and uphold the welfare of Filipinos wherever they may be located. This program aimed to the institutionalized provision of social welfare and pro</w:t>
      </w:r>
      <w:r>
        <w:rPr>
          <w:color w:val="000000" w:themeColor="text1"/>
        </w:rPr>
        <w:t xml:space="preserve">tection to Overseas Filipinos. </w:t>
      </w:r>
    </w:p>
    <w:p w14:paraId="22BE059A" w14:textId="77777777" w:rsidR="00112A2C" w:rsidRPr="00112A2C" w:rsidRDefault="00112A2C" w:rsidP="00112A2C">
      <w:pPr>
        <w:jc w:val="both"/>
        <w:rPr>
          <w:color w:val="000000" w:themeColor="text1"/>
        </w:rPr>
      </w:pPr>
      <w:r w:rsidRPr="00112A2C">
        <w:rPr>
          <w:color w:val="000000" w:themeColor="text1"/>
        </w:rPr>
        <w:t>A total of 105 Overseas Filipinos clients were served, with 66 (or 63%) being females and 39 (or 37%) being males. Female labor force participation is significantly higher than male labor force participation in the first semester.</w:t>
      </w:r>
    </w:p>
    <w:p w14:paraId="6EE9B019" w14:textId="77777777" w:rsidR="00112A2C" w:rsidRDefault="00112A2C" w:rsidP="00112A2C">
      <w:pPr>
        <w:jc w:val="both"/>
        <w:rPr>
          <w:color w:val="000000" w:themeColor="text1"/>
        </w:rPr>
      </w:pPr>
    </w:p>
    <w:p w14:paraId="1615900B" w14:textId="77777777" w:rsidR="00112A2C" w:rsidRPr="00112A2C" w:rsidRDefault="00112A2C" w:rsidP="00112A2C">
      <w:pPr>
        <w:jc w:val="both"/>
        <w:rPr>
          <w:color w:val="000000" w:themeColor="text1"/>
        </w:rPr>
      </w:pPr>
      <w:r w:rsidRPr="00112A2C">
        <w:rPr>
          <w:color w:val="000000" w:themeColor="text1"/>
        </w:rPr>
        <w:t>Distressed and repatriated Overseas Filipino Workers and returning overseas minors received airport assistance and support interventions such as counseling, referral, and financial assistance during the first semester. With 44 clients, 42 percent came from outside the region, followed by Cagayan with 30 clients, 28 percent, Isabela with 22 clients, 21 percent, Quirino with eight (8) clients, 8 percent, and Nueva Vizcaya with one (1) client, 1 percent.</w:t>
      </w:r>
    </w:p>
    <w:p w14:paraId="5443AB45" w14:textId="77777777" w:rsidR="008B7A66" w:rsidRPr="00861ACE" w:rsidRDefault="00112A2C" w:rsidP="00861ACE">
      <w:pPr>
        <w:spacing w:before="240" w:after="240"/>
        <w:jc w:val="both"/>
        <w:rPr>
          <w:color w:val="000000"/>
        </w:rPr>
      </w:pPr>
      <w:r w:rsidRPr="00112A2C">
        <w:t>A total of 55 clients were given financial assistance totaling Php 304,000 out of the 105 served. Cagayan has the most clients receiving financial assistance, with 18 clients totaling Php 93,000; Isabela has 17 clients totaling Php 85,000; provinces outside the region have 12 clients totaling Php 86,000; and Quirino has eight (8) clients totaling Php 40,000.</w:t>
      </w:r>
    </w:p>
    <w:p w14:paraId="430E5586" w14:textId="77777777" w:rsidR="00861ACE" w:rsidRDefault="00112A2C" w:rsidP="008E225C">
      <w:pPr>
        <w:jc w:val="both"/>
        <w:rPr>
          <w:color w:val="000000"/>
          <w:szCs w:val="20"/>
          <w:shd w:val="clear" w:color="auto" w:fill="FFFFFF"/>
        </w:rPr>
      </w:pPr>
      <w:r w:rsidRPr="00112A2C">
        <w:rPr>
          <w:color w:val="000000"/>
          <w:szCs w:val="20"/>
          <w:shd w:val="clear" w:color="auto" w:fill="FFFFFF"/>
        </w:rPr>
        <w:t>Strategic Focus 1: Increase capacity of LGUs to improve the delivery of social protection and social welfare services</w:t>
      </w:r>
    </w:p>
    <w:p w14:paraId="17F3DF42" w14:textId="77777777" w:rsidR="00112A2C" w:rsidRPr="00112A2C" w:rsidRDefault="00112A2C" w:rsidP="008E225C">
      <w:pPr>
        <w:jc w:val="both"/>
        <w:rPr>
          <w:sz w:val="24"/>
        </w:rPr>
      </w:pPr>
    </w:p>
    <w:p w14:paraId="01C897D5" w14:textId="77777777" w:rsidR="004B4CDE" w:rsidRDefault="004B4CDE" w:rsidP="00112A2C">
      <w:pPr>
        <w:jc w:val="both"/>
        <w:rPr>
          <w:b/>
        </w:rPr>
      </w:pPr>
      <w:r w:rsidRPr="00112A2C">
        <w:rPr>
          <w:b/>
        </w:rPr>
        <w:t>OO 3 – IMMEDIATE RELIEF AND EARLY RECOVERY OF DISASTER VICTIMS/ SURVIVORS ENSURED</w:t>
      </w:r>
    </w:p>
    <w:p w14:paraId="07758A58" w14:textId="77777777" w:rsidR="00112A2C" w:rsidRPr="00112A2C" w:rsidRDefault="00112A2C" w:rsidP="00112A2C">
      <w:pPr>
        <w:spacing w:before="240" w:after="240"/>
        <w:jc w:val="both"/>
        <w:rPr>
          <w:color w:val="000000"/>
        </w:rPr>
      </w:pPr>
      <w:r w:rsidRPr="00112A2C">
        <w:rPr>
          <w:color w:val="000000"/>
        </w:rPr>
        <w:t>This organizational outcome emphasizes the critical role of the Department in addressing the immediate needs of the individuals, families, and communities affected by human-induced and natural disasters.  Also, Organizational Outcome 3 involves the continuing efforts and initiatives of the DSWD to improve its disaster response operations, to proactively respond to challenges in disaster risk reduction and management.</w:t>
      </w:r>
    </w:p>
    <w:p w14:paraId="4348FBC8" w14:textId="77777777" w:rsidR="001A1069" w:rsidRDefault="001A1069" w:rsidP="001A1069">
      <w:pPr>
        <w:jc w:val="both"/>
        <w:rPr>
          <w:color w:val="000000"/>
        </w:rPr>
      </w:pPr>
      <w:r w:rsidRPr="001A1069">
        <w:rPr>
          <w:color w:val="000000"/>
        </w:rPr>
        <w:lastRenderedPageBreak/>
        <w:t>With the dangers and risks posed by COVID-19, we in the Disaster Response Management Division are behooved to come up with measures, interventions and innovations designed to deal with this crisis as we perform our respective duties in preparation and in the implementation of our plans. Region II experienced no weather disruptions or disasters, and the Corona Virus Disease 2019 (CoViD-19) cases started to lower. Cagayan, Isabela, Batanes, Quirino and Nueva Vizcaya are now on Alert Level I. All establishments, individuals are allowed to operate, work, and engage in activities with a total on-site or venue seating capacity, provided that they are consistent and adheres to minimum public health requirements.</w:t>
      </w:r>
    </w:p>
    <w:p w14:paraId="61EFFFC3" w14:textId="77777777" w:rsidR="001A1069" w:rsidRPr="001A1069" w:rsidRDefault="001A1069" w:rsidP="001A1069">
      <w:pPr>
        <w:rPr>
          <w:color w:val="000000"/>
        </w:rPr>
      </w:pPr>
    </w:p>
    <w:p w14:paraId="4F33BDC5" w14:textId="77777777" w:rsidR="001A1069" w:rsidRPr="001A1069" w:rsidRDefault="001A1069" w:rsidP="001A1069">
      <w:pPr>
        <w:jc w:val="both"/>
        <w:rPr>
          <w:color w:val="000000"/>
        </w:rPr>
      </w:pPr>
      <w:r w:rsidRPr="001A1069">
        <w:rPr>
          <w:color w:val="000000"/>
        </w:rPr>
        <w:t xml:space="preserve">The Disaster Response Management Division continued to focus its efforts on providing urgent relief and resource augmentation to LGUs for COVID-19 pandemic-affected families and Internally Displaced Persons due to on-going military operations, flash floods and to those former rebels through Food and Non-Food Items. Likewise, monitored and ensured that the required level of standby stockpile is sustained, produced quality standard vacuum rice packed for longer shelf life, maintained and ensured that the availability of resources by prepositioning of different relief items in different satellite warehouses is available at any given time. </w:t>
      </w:r>
    </w:p>
    <w:p w14:paraId="0F0417EB" w14:textId="77777777" w:rsidR="001A1069" w:rsidRDefault="001A1069" w:rsidP="001A1069">
      <w:pPr>
        <w:jc w:val="both"/>
        <w:rPr>
          <w:color w:val="000000"/>
        </w:rPr>
      </w:pPr>
    </w:p>
    <w:p w14:paraId="2B1654AF" w14:textId="77777777" w:rsidR="001A1069" w:rsidRPr="001A1069" w:rsidRDefault="001A1069" w:rsidP="001A1069">
      <w:pPr>
        <w:jc w:val="both"/>
        <w:rPr>
          <w:color w:val="000000"/>
        </w:rPr>
      </w:pPr>
      <w:r w:rsidRPr="001A1069">
        <w:rPr>
          <w:color w:val="000000"/>
        </w:rPr>
        <w:t xml:space="preserve">Further, the division sent augmentation of manpower to other divisions to implement programs and services during the conduct of pay-out. Likewise, conducted the Capability Building Activities for both Field Office Quick Response Teams (QRTs) and LGUs to capacitate and have accurate data. Field Office Staff also assisted the </w:t>
      </w:r>
      <w:r>
        <w:rPr>
          <w:color w:val="000000"/>
        </w:rPr>
        <w:t>Capability Building Activities c</w:t>
      </w:r>
      <w:r w:rsidRPr="001A1069">
        <w:rPr>
          <w:color w:val="000000"/>
        </w:rPr>
        <w:t xml:space="preserve">onducted by the </w:t>
      </w:r>
      <w:r>
        <w:rPr>
          <w:color w:val="000000"/>
        </w:rPr>
        <w:t xml:space="preserve">DSWD </w:t>
      </w:r>
      <w:r w:rsidRPr="001A1069">
        <w:rPr>
          <w:color w:val="000000"/>
        </w:rPr>
        <w:t>Central Office to selected LGUs.</w:t>
      </w:r>
    </w:p>
    <w:p w14:paraId="12BB8DE7" w14:textId="77777777" w:rsidR="001A1069" w:rsidRDefault="001A1069" w:rsidP="001A1069">
      <w:pPr>
        <w:rPr>
          <w:color w:val="000000"/>
        </w:rPr>
      </w:pPr>
    </w:p>
    <w:p w14:paraId="403F7F9B" w14:textId="77777777" w:rsidR="00112A2C" w:rsidRDefault="001A1069" w:rsidP="001A1069">
      <w:pPr>
        <w:jc w:val="both"/>
        <w:rPr>
          <w:color w:val="000000"/>
        </w:rPr>
      </w:pPr>
      <w:r w:rsidRPr="001A1069">
        <w:rPr>
          <w:color w:val="000000"/>
        </w:rPr>
        <w:t>Moreover, during the 1st Disaster Response Convention held in Cebu City, the Department of Social Welfare and Development Field Office II (DSWD FOII) through the Divisions collaborative effort recognized as the Best Innovation and Best Practices for Disaster Operations out of sixteen (16) field offices. This award-winning innovation of DSWD FO II will serve as the official entry of DSWD-Disaster Response Management Bureau (DRMB) for the 2022 Government Best Practice Recognition (GBPR), an initiative of the Development Academy of the Philippines (DAP) to promote, showcase, and share knowledge on exceptional and innovative practices demonstrated by the public sector organizations.</w:t>
      </w:r>
    </w:p>
    <w:p w14:paraId="5F0F28FC" w14:textId="77777777" w:rsidR="001A1069" w:rsidRPr="006A53F7" w:rsidRDefault="001A1069" w:rsidP="001A1069">
      <w:pPr>
        <w:jc w:val="both"/>
        <w:rPr>
          <w:color w:val="000000"/>
        </w:rPr>
      </w:pPr>
    </w:p>
    <w:p w14:paraId="63A436EB" w14:textId="77777777" w:rsidR="001A1069" w:rsidRPr="006A53F7" w:rsidRDefault="001A1069" w:rsidP="00516AD6">
      <w:pPr>
        <w:numPr>
          <w:ilvl w:val="0"/>
          <w:numId w:val="5"/>
        </w:numPr>
        <w:spacing w:after="200" w:line="240" w:lineRule="auto"/>
        <w:ind w:left="1080"/>
        <w:jc w:val="both"/>
        <w:textAlignment w:val="baseline"/>
        <w:rPr>
          <w:rFonts w:eastAsia="Times New Roman"/>
          <w:b/>
          <w:bCs/>
          <w:color w:val="000000"/>
          <w:lang w:val="en-PH" w:eastAsia="en-PH"/>
        </w:rPr>
      </w:pPr>
      <w:r w:rsidRPr="006A53F7">
        <w:rPr>
          <w:rFonts w:eastAsia="Times New Roman"/>
          <w:b/>
          <w:bCs/>
          <w:color w:val="000000"/>
          <w:lang w:val="en-PH" w:eastAsia="en-PH"/>
        </w:rPr>
        <w:t>Assistance Provided</w:t>
      </w:r>
    </w:p>
    <w:p w14:paraId="2DDBBA60"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 xml:space="preserve">The Field Office II provided a total of </w:t>
      </w:r>
      <w:r w:rsidRPr="006A53F7">
        <w:rPr>
          <w:rFonts w:eastAsia="Times New Roman"/>
          <w:b/>
          <w:bCs/>
          <w:color w:val="000000"/>
          <w:lang w:val="en-PH" w:eastAsia="en-PH"/>
        </w:rPr>
        <w:t>1,210 FFPs</w:t>
      </w:r>
      <w:r w:rsidRPr="006A53F7">
        <w:rPr>
          <w:rFonts w:eastAsia="Times New Roman"/>
          <w:color w:val="000000"/>
          <w:lang w:val="en-PH" w:eastAsia="en-PH"/>
        </w:rPr>
        <w:t xml:space="preserve"> and </w:t>
      </w:r>
      <w:r w:rsidRPr="006A53F7">
        <w:rPr>
          <w:rFonts w:eastAsia="Times New Roman"/>
          <w:b/>
          <w:bCs/>
          <w:color w:val="000000"/>
          <w:lang w:val="en-PH" w:eastAsia="en-PH"/>
        </w:rPr>
        <w:t>500 Non-Food Items</w:t>
      </w:r>
      <w:r w:rsidRPr="006A53F7">
        <w:rPr>
          <w:rFonts w:eastAsia="Times New Roman"/>
          <w:color w:val="000000"/>
          <w:lang w:val="en-PH" w:eastAsia="en-PH"/>
        </w:rPr>
        <w:t xml:space="preserve"> with an aggregate amount of </w:t>
      </w:r>
      <w:r w:rsidRPr="006A53F7">
        <w:rPr>
          <w:rFonts w:eastAsia="Times New Roman"/>
          <w:b/>
          <w:bCs/>
          <w:color w:val="000000"/>
          <w:lang w:val="en-PH" w:eastAsia="en-PH"/>
        </w:rPr>
        <w:t>₱</w:t>
      </w:r>
      <w:r w:rsidRPr="006A53F7">
        <w:rPr>
          <w:rFonts w:eastAsia="Times New Roman"/>
          <w:b/>
          <w:bCs/>
          <w:i/>
          <w:iCs/>
          <w:color w:val="000000"/>
          <w:lang w:val="en-PH" w:eastAsia="en-PH"/>
        </w:rPr>
        <w:t xml:space="preserve">1,274,631.50 </w:t>
      </w:r>
      <w:r w:rsidRPr="006A53F7">
        <w:rPr>
          <w:rFonts w:eastAsia="Times New Roman"/>
          <w:color w:val="000000"/>
          <w:lang w:val="en-PH" w:eastAsia="en-PH"/>
        </w:rPr>
        <w:t>as augmentation to affected individuals due to COVID-19 and other disaster incidents in the region.</w:t>
      </w:r>
    </w:p>
    <w:p w14:paraId="6189C905" w14:textId="77777777" w:rsidR="001A1069" w:rsidRPr="006A53F7" w:rsidRDefault="001A1069" w:rsidP="001A1069">
      <w:pPr>
        <w:spacing w:line="240" w:lineRule="auto"/>
        <w:rPr>
          <w:rFonts w:ascii="Times New Roman" w:eastAsia="Times New Roman" w:hAnsi="Times New Roman" w:cs="Times New Roman"/>
          <w:lang w:val="en-PH" w:eastAsia="en-PH"/>
        </w:rPr>
      </w:pPr>
    </w:p>
    <w:tbl>
      <w:tblPr>
        <w:tblW w:w="0" w:type="auto"/>
        <w:tblCellMar>
          <w:top w:w="15" w:type="dxa"/>
          <w:left w:w="15" w:type="dxa"/>
          <w:bottom w:w="15" w:type="dxa"/>
          <w:right w:w="15" w:type="dxa"/>
        </w:tblCellMar>
        <w:tblLook w:val="04A0" w:firstRow="1" w:lastRow="0" w:firstColumn="1" w:lastColumn="0" w:noHBand="0" w:noVBand="1"/>
      </w:tblPr>
      <w:tblGrid>
        <w:gridCol w:w="510"/>
        <w:gridCol w:w="2038"/>
        <w:gridCol w:w="1451"/>
        <w:gridCol w:w="1891"/>
        <w:gridCol w:w="1648"/>
      </w:tblGrid>
      <w:tr w:rsidR="001A1069" w:rsidRPr="006A53F7" w14:paraId="5C732C94" w14:textId="77777777" w:rsidTr="001A10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19DFA"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685DE"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Province /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A6DD6"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Food Packs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4A2EE"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Non-Food items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B456C"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Total Cost</w:t>
            </w:r>
          </w:p>
        </w:tc>
      </w:tr>
      <w:tr w:rsidR="001A1069" w:rsidRPr="006A53F7" w14:paraId="29246A41" w14:textId="77777777" w:rsidTr="001A10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21CA1"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137CA"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Cagayan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5F80F"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876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A095A"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59A7C"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₱1,066,883.50</w:t>
            </w:r>
          </w:p>
        </w:tc>
      </w:tr>
      <w:tr w:rsidR="001A1069" w:rsidRPr="006A53F7" w14:paraId="18C26234" w14:textId="77777777" w:rsidTr="001A10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D05F8"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AEA71"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Nueva Vizcaya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0A188"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334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1A5E3"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5DA3E"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₱207,748.00</w:t>
            </w:r>
          </w:p>
        </w:tc>
      </w:tr>
      <w:tr w:rsidR="001A1069" w:rsidRPr="006A53F7" w14:paraId="7164EFEF" w14:textId="77777777" w:rsidTr="001A10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E2B05" w14:textId="77777777" w:rsidR="001A1069" w:rsidRPr="006A53F7" w:rsidRDefault="001A1069" w:rsidP="001A1069">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55F9F"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Grand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21388"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1,210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407CB"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BEA35"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₱1,274,631.50</w:t>
            </w:r>
          </w:p>
        </w:tc>
      </w:tr>
    </w:tbl>
    <w:p w14:paraId="48558741" w14:textId="77777777" w:rsidR="001A1069" w:rsidRPr="006A53F7" w:rsidRDefault="001A1069" w:rsidP="001A1069">
      <w:pPr>
        <w:spacing w:line="240" w:lineRule="auto"/>
        <w:rPr>
          <w:rFonts w:ascii="Times New Roman" w:eastAsia="Times New Roman" w:hAnsi="Times New Roman" w:cs="Times New Roman"/>
          <w:lang w:val="en-PH" w:eastAsia="en-PH"/>
        </w:rPr>
      </w:pPr>
      <w:r w:rsidRPr="006A53F7">
        <w:rPr>
          <w:rFonts w:ascii="Times New Roman" w:eastAsia="Times New Roman" w:hAnsi="Times New Roman" w:cs="Times New Roman"/>
          <w:lang w:val="en-PH" w:eastAsia="en-PH"/>
        </w:rPr>
        <w:br/>
      </w:r>
    </w:p>
    <w:p w14:paraId="1432A3F4" w14:textId="77777777" w:rsidR="001A1069" w:rsidRPr="006A53F7" w:rsidRDefault="001A1069" w:rsidP="00516AD6">
      <w:pPr>
        <w:numPr>
          <w:ilvl w:val="0"/>
          <w:numId w:val="6"/>
        </w:numPr>
        <w:spacing w:line="240" w:lineRule="auto"/>
        <w:jc w:val="both"/>
        <w:textAlignment w:val="baseline"/>
        <w:rPr>
          <w:rFonts w:eastAsia="Times New Roman"/>
          <w:b/>
          <w:bCs/>
          <w:i/>
          <w:iCs/>
          <w:color w:val="000000"/>
          <w:lang w:val="en-PH" w:eastAsia="en-PH"/>
        </w:rPr>
      </w:pPr>
      <w:r w:rsidRPr="006A53F7">
        <w:rPr>
          <w:rFonts w:eastAsia="Times New Roman"/>
          <w:b/>
          <w:bCs/>
          <w:i/>
          <w:iCs/>
          <w:color w:val="000000"/>
          <w:lang w:val="en-PH" w:eastAsia="en-PH"/>
        </w:rPr>
        <w:t>Covid-19 Pandemic</w:t>
      </w:r>
    </w:p>
    <w:p w14:paraId="75C88B39" w14:textId="77777777" w:rsidR="001A1069" w:rsidRPr="006A53F7" w:rsidRDefault="001A1069" w:rsidP="001A1069">
      <w:pPr>
        <w:spacing w:line="240" w:lineRule="auto"/>
        <w:rPr>
          <w:rFonts w:ascii="Times New Roman" w:eastAsia="Times New Roman" w:hAnsi="Times New Roman" w:cs="Times New Roman"/>
          <w:lang w:val="en-PH" w:eastAsia="en-PH"/>
        </w:rPr>
      </w:pPr>
    </w:p>
    <w:p w14:paraId="299203C4" w14:textId="77777777" w:rsidR="001A1069" w:rsidRPr="006A53F7" w:rsidRDefault="001A1069" w:rsidP="001A1069">
      <w:pPr>
        <w:spacing w:line="240" w:lineRule="auto"/>
        <w:ind w:firstLine="360"/>
        <w:jc w:val="both"/>
        <w:rPr>
          <w:rFonts w:ascii="Times New Roman" w:eastAsia="Times New Roman" w:hAnsi="Times New Roman" w:cs="Times New Roman"/>
          <w:lang w:val="en-PH" w:eastAsia="en-PH"/>
        </w:rPr>
      </w:pPr>
      <w:r w:rsidRPr="006A53F7">
        <w:rPr>
          <w:rFonts w:eastAsia="Times New Roman"/>
          <w:color w:val="000000"/>
          <w:lang w:val="en-PH" w:eastAsia="en-PH"/>
        </w:rPr>
        <w:t xml:space="preserve">The Field Office II released and distributed Family Food Packs to families whose livelihood was affected by the CoVid-19 pandemic. A total of two </w:t>
      </w:r>
      <w:r w:rsidRPr="006A53F7">
        <w:rPr>
          <w:rFonts w:eastAsia="Times New Roman"/>
          <w:b/>
          <w:bCs/>
          <w:color w:val="000000"/>
          <w:lang w:val="en-PH" w:eastAsia="en-PH"/>
        </w:rPr>
        <w:t>(</w:t>
      </w:r>
      <w:r w:rsidRPr="006A53F7">
        <w:rPr>
          <w:rFonts w:eastAsia="Times New Roman"/>
          <w:b/>
          <w:bCs/>
          <w:i/>
          <w:iCs/>
          <w:color w:val="000000"/>
          <w:lang w:val="en-PH" w:eastAsia="en-PH"/>
        </w:rPr>
        <w:t xml:space="preserve">2) municipalities </w:t>
      </w:r>
      <w:r w:rsidRPr="006A53F7">
        <w:rPr>
          <w:rFonts w:eastAsia="Times New Roman"/>
          <w:color w:val="000000"/>
          <w:lang w:val="en-PH" w:eastAsia="en-PH"/>
        </w:rPr>
        <w:t xml:space="preserve">in two </w:t>
      </w:r>
      <w:r w:rsidRPr="006A53F7">
        <w:rPr>
          <w:rFonts w:eastAsia="Times New Roman"/>
          <w:b/>
          <w:bCs/>
          <w:color w:val="000000"/>
          <w:lang w:val="en-PH" w:eastAsia="en-PH"/>
        </w:rPr>
        <w:t>(</w:t>
      </w:r>
      <w:r w:rsidRPr="006A53F7">
        <w:rPr>
          <w:rFonts w:eastAsia="Times New Roman"/>
          <w:b/>
          <w:bCs/>
          <w:i/>
          <w:iCs/>
          <w:color w:val="000000"/>
          <w:lang w:val="en-PH" w:eastAsia="en-PH"/>
        </w:rPr>
        <w:t>2) provinces</w:t>
      </w:r>
      <w:r w:rsidRPr="006A53F7">
        <w:rPr>
          <w:rFonts w:eastAsia="Times New Roman"/>
          <w:color w:val="000000"/>
          <w:lang w:val="en-PH" w:eastAsia="en-PH"/>
        </w:rPr>
        <w:t xml:space="preserve"> were given relief assistance. The division ensured that the provision of relief items is received by the requesting municipalities three (3) days upon receipt of request. LGU needs to distribute the FFPs within seven (7) days from request. </w:t>
      </w:r>
    </w:p>
    <w:p w14:paraId="61A74BFF" w14:textId="77777777" w:rsidR="001A1069" w:rsidRPr="006A53F7" w:rsidRDefault="001A1069" w:rsidP="001A1069">
      <w:pPr>
        <w:spacing w:line="240" w:lineRule="auto"/>
        <w:ind w:firstLine="360"/>
        <w:jc w:val="both"/>
        <w:rPr>
          <w:rFonts w:ascii="Times New Roman" w:eastAsia="Times New Roman" w:hAnsi="Times New Roman" w:cs="Times New Roman"/>
          <w:lang w:val="en-PH" w:eastAsia="en-PH"/>
        </w:rPr>
      </w:pPr>
      <w:r w:rsidRPr="006A53F7">
        <w:rPr>
          <w:rFonts w:eastAsia="Times New Roman"/>
          <w:color w:val="000000"/>
          <w:lang w:val="en-PH" w:eastAsia="en-PH"/>
        </w:rPr>
        <w:t> </w:t>
      </w:r>
    </w:p>
    <w:tbl>
      <w:tblPr>
        <w:tblW w:w="0" w:type="auto"/>
        <w:tblCellMar>
          <w:top w:w="15" w:type="dxa"/>
          <w:left w:w="15" w:type="dxa"/>
          <w:bottom w:w="15" w:type="dxa"/>
          <w:right w:w="15" w:type="dxa"/>
        </w:tblCellMar>
        <w:tblLook w:val="04A0" w:firstRow="1" w:lastRow="0" w:firstColumn="1" w:lastColumn="0" w:noHBand="0" w:noVBand="1"/>
      </w:tblPr>
      <w:tblGrid>
        <w:gridCol w:w="870"/>
        <w:gridCol w:w="3112"/>
        <w:gridCol w:w="1602"/>
        <w:gridCol w:w="1866"/>
        <w:gridCol w:w="1824"/>
      </w:tblGrid>
      <w:tr w:rsidR="001A1069" w:rsidRPr="006A53F7" w14:paraId="098940FC" w14:textId="77777777" w:rsidTr="001A1069">
        <w:trPr>
          <w:trHeight w:val="8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4EA6"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b/>
                <w:bCs/>
                <w:color w:val="000000"/>
                <w:lang w:val="en-PH" w:eastAsia="en-PH"/>
              </w:rPr>
              <w:lastRenderedPageBreak/>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52E6A"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b/>
                <w:bCs/>
                <w:color w:val="000000"/>
                <w:lang w:val="en-PH" w:eastAsia="en-PH"/>
              </w:rPr>
              <w:t>Municipality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278DE"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b/>
                <w:bCs/>
                <w:color w:val="000000"/>
                <w:lang w:val="en-PH" w:eastAsia="en-PH"/>
              </w:rPr>
              <w:t>Food Packs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3A6C0"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b/>
                <w:bCs/>
                <w:color w:val="000000"/>
                <w:lang w:val="en-PH" w:eastAsia="en-PH"/>
              </w:rPr>
              <w:t>Non-Food Items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1063E"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b/>
                <w:bCs/>
                <w:color w:val="000000"/>
                <w:lang w:val="en-PH" w:eastAsia="en-PH"/>
              </w:rPr>
              <w:t>Total Cost</w:t>
            </w:r>
          </w:p>
        </w:tc>
      </w:tr>
      <w:tr w:rsidR="001A1069" w:rsidRPr="006A53F7" w14:paraId="0BF6CFB3" w14:textId="77777777" w:rsidTr="001A1069">
        <w:trPr>
          <w:trHeight w:val="2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EA975"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7EA43"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color w:val="000000"/>
                <w:lang w:val="en-PH" w:eastAsia="en-PH"/>
              </w:rPr>
              <w:t>Gonzaga, Cagayan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2D074"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color w:val="000000"/>
                <w:lang w:val="en-PH" w:eastAsia="en-PH"/>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3A9E3"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color w:val="000000"/>
                <w:lang w:val="en-PH" w:eastAsia="en-PH"/>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948B2"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color w:val="000000"/>
                <w:lang w:val="en-PH" w:eastAsia="en-PH"/>
              </w:rPr>
              <w:t>₱51,200.00</w:t>
            </w:r>
          </w:p>
        </w:tc>
      </w:tr>
      <w:tr w:rsidR="001A1069" w:rsidRPr="006A53F7" w14:paraId="476CED15" w14:textId="77777777" w:rsidTr="001A1069">
        <w:trPr>
          <w:trHeight w:val="5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AC365"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color w:val="000000"/>
                <w:lang w:val="en-PH" w:eastAsia="en-PH"/>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6CA76"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color w:val="000000"/>
                <w:lang w:val="en-PH" w:eastAsia="en-PH"/>
              </w:rPr>
              <w:t>Dupax Del Norte, Nueva Vizcaya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209BA"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color w:val="000000"/>
                <w:lang w:val="en-PH" w:eastAsia="en-PH"/>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BFDE2"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color w:val="000000"/>
                <w:lang w:val="en-PH" w:eastAsia="en-PH"/>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7B4B9"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color w:val="000000"/>
                <w:lang w:val="en-PH" w:eastAsia="en-PH"/>
              </w:rPr>
              <w:t>₱130,620.00</w:t>
            </w:r>
          </w:p>
        </w:tc>
      </w:tr>
      <w:tr w:rsidR="001A1069" w:rsidRPr="006A53F7" w14:paraId="25A513E0" w14:textId="77777777" w:rsidTr="001A1069">
        <w:trPr>
          <w:trHeight w:val="2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00A3B" w14:textId="77777777" w:rsidR="001A1069" w:rsidRPr="006A53F7" w:rsidRDefault="001A1069" w:rsidP="001A1069">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55DD7"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Grand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DC3DE"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FEF6B"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0B88E" w14:textId="77777777" w:rsidR="001A1069" w:rsidRPr="006A53F7" w:rsidRDefault="001A1069" w:rsidP="001A1069">
            <w:pPr>
              <w:spacing w:line="240" w:lineRule="auto"/>
              <w:ind w:left="360"/>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₱181,820.00</w:t>
            </w:r>
          </w:p>
        </w:tc>
      </w:tr>
    </w:tbl>
    <w:p w14:paraId="48F84E9E" w14:textId="77777777" w:rsidR="001A1069" w:rsidRPr="006A53F7" w:rsidRDefault="001A1069" w:rsidP="001A1069">
      <w:pPr>
        <w:spacing w:line="240" w:lineRule="auto"/>
        <w:rPr>
          <w:rFonts w:ascii="Times New Roman" w:eastAsia="Times New Roman" w:hAnsi="Times New Roman" w:cs="Times New Roman"/>
          <w:lang w:val="en-PH" w:eastAsia="en-PH"/>
        </w:rPr>
      </w:pPr>
      <w:r w:rsidRPr="006A53F7">
        <w:rPr>
          <w:rFonts w:ascii="Times New Roman" w:eastAsia="Times New Roman" w:hAnsi="Times New Roman" w:cs="Times New Roman"/>
          <w:lang w:val="en-PH" w:eastAsia="en-PH"/>
        </w:rPr>
        <w:br/>
      </w:r>
    </w:p>
    <w:p w14:paraId="78ECDFDB" w14:textId="77777777" w:rsidR="001A1069" w:rsidRPr="006A53F7" w:rsidRDefault="001A1069" w:rsidP="00516AD6">
      <w:pPr>
        <w:numPr>
          <w:ilvl w:val="0"/>
          <w:numId w:val="7"/>
        </w:numPr>
        <w:spacing w:line="240" w:lineRule="auto"/>
        <w:jc w:val="both"/>
        <w:textAlignment w:val="baseline"/>
        <w:rPr>
          <w:rFonts w:eastAsia="Times New Roman"/>
          <w:b/>
          <w:bCs/>
          <w:i/>
          <w:iCs/>
          <w:color w:val="000000"/>
          <w:lang w:val="en-PH" w:eastAsia="en-PH"/>
        </w:rPr>
      </w:pPr>
      <w:r w:rsidRPr="006A53F7">
        <w:rPr>
          <w:rFonts w:eastAsia="Times New Roman"/>
          <w:b/>
          <w:bCs/>
          <w:i/>
          <w:iCs/>
          <w:color w:val="000000"/>
          <w:lang w:val="en-PH" w:eastAsia="en-PH"/>
        </w:rPr>
        <w:t>Flooding</w:t>
      </w:r>
    </w:p>
    <w:p w14:paraId="3254DA4F" w14:textId="77777777" w:rsidR="001A1069" w:rsidRPr="006A53F7" w:rsidRDefault="001A1069" w:rsidP="001A1069">
      <w:pPr>
        <w:spacing w:line="240" w:lineRule="auto"/>
        <w:rPr>
          <w:rFonts w:ascii="Times New Roman" w:eastAsia="Times New Roman" w:hAnsi="Times New Roman" w:cs="Times New Roman"/>
          <w:lang w:val="en-PH" w:eastAsia="en-PH"/>
        </w:rPr>
      </w:pPr>
    </w:p>
    <w:p w14:paraId="7C47C503" w14:textId="77777777" w:rsidR="001A1069" w:rsidRPr="006A53F7" w:rsidRDefault="001A1069" w:rsidP="001A1069">
      <w:pPr>
        <w:spacing w:line="240" w:lineRule="auto"/>
        <w:ind w:firstLine="426"/>
        <w:jc w:val="both"/>
        <w:rPr>
          <w:rFonts w:ascii="Times New Roman" w:eastAsia="Times New Roman" w:hAnsi="Times New Roman" w:cs="Times New Roman"/>
          <w:lang w:val="en-PH" w:eastAsia="en-PH"/>
        </w:rPr>
      </w:pPr>
      <w:r w:rsidRPr="006A53F7">
        <w:rPr>
          <w:rFonts w:eastAsia="Times New Roman"/>
          <w:color w:val="000000"/>
          <w:lang w:val="en-PH" w:eastAsia="en-PH"/>
        </w:rPr>
        <w:t xml:space="preserve">The division through RROS facilitated the rapid deployment of relief assistance for the affected families due to flooding brought by Low Pressure Area (LPA) last April 8, 2022 in the Barangay Buyun, Peñablanca, Cagayan. The Field Office provided </w:t>
      </w:r>
      <w:r w:rsidRPr="006A53F7">
        <w:rPr>
          <w:rFonts w:eastAsia="Times New Roman"/>
          <w:b/>
          <w:bCs/>
          <w:i/>
          <w:iCs/>
          <w:color w:val="000000"/>
          <w:lang w:val="en-PH" w:eastAsia="en-PH"/>
        </w:rPr>
        <w:t xml:space="preserve">26 Family Food Packs </w:t>
      </w:r>
      <w:r w:rsidRPr="006A53F7">
        <w:rPr>
          <w:rFonts w:eastAsia="Times New Roman"/>
          <w:color w:val="000000"/>
          <w:lang w:val="en-PH" w:eastAsia="en-PH"/>
        </w:rPr>
        <w:t xml:space="preserve">amounting to </w:t>
      </w:r>
      <w:r w:rsidRPr="006A53F7">
        <w:rPr>
          <w:rFonts w:eastAsia="Times New Roman"/>
          <w:b/>
          <w:bCs/>
          <w:i/>
          <w:iCs/>
          <w:color w:val="000000"/>
          <w:lang w:val="en-PH" w:eastAsia="en-PH"/>
        </w:rPr>
        <w:t>₱16,172.00</w:t>
      </w:r>
      <w:r w:rsidRPr="006A53F7">
        <w:rPr>
          <w:rFonts w:eastAsia="Times New Roman"/>
          <w:i/>
          <w:iCs/>
          <w:color w:val="000000"/>
          <w:lang w:val="en-PH" w:eastAsia="en-PH"/>
        </w:rPr>
        <w:t>.</w:t>
      </w:r>
    </w:p>
    <w:p w14:paraId="685E0CC2" w14:textId="6AC5E5B7" w:rsidR="001A1069" w:rsidRPr="006A53F7" w:rsidRDefault="001A1069" w:rsidP="001A1069">
      <w:pPr>
        <w:spacing w:line="240" w:lineRule="auto"/>
        <w:rPr>
          <w:rFonts w:ascii="Times New Roman" w:eastAsia="Times New Roman" w:hAnsi="Times New Roman" w:cs="Times New Roman"/>
          <w:lang w:val="en-PH" w:eastAsia="en-PH"/>
        </w:rPr>
      </w:pPr>
      <w:r w:rsidRPr="006A53F7">
        <w:rPr>
          <w:rFonts w:ascii="Times New Roman" w:eastAsia="Times New Roman" w:hAnsi="Times New Roman" w:cs="Times New Roman"/>
          <w:lang w:val="en-PH" w:eastAsia="en-PH"/>
        </w:rPr>
        <w:br/>
      </w:r>
    </w:p>
    <w:p w14:paraId="7B1C544D" w14:textId="77777777" w:rsidR="001A1069" w:rsidRPr="006A53F7" w:rsidRDefault="001A1069" w:rsidP="00516AD6">
      <w:pPr>
        <w:numPr>
          <w:ilvl w:val="0"/>
          <w:numId w:val="8"/>
        </w:numPr>
        <w:spacing w:line="240" w:lineRule="auto"/>
        <w:jc w:val="both"/>
        <w:textAlignment w:val="baseline"/>
        <w:rPr>
          <w:rFonts w:eastAsia="Times New Roman"/>
          <w:b/>
          <w:bCs/>
          <w:i/>
          <w:iCs/>
          <w:color w:val="000000"/>
          <w:lang w:val="en-PH" w:eastAsia="en-PH"/>
        </w:rPr>
      </w:pPr>
      <w:r w:rsidRPr="006A53F7">
        <w:rPr>
          <w:rFonts w:eastAsia="Times New Roman"/>
          <w:b/>
          <w:bCs/>
          <w:i/>
          <w:iCs/>
          <w:color w:val="000000"/>
          <w:lang w:val="en-PH" w:eastAsia="en-PH"/>
        </w:rPr>
        <w:t>Armed Conflict</w:t>
      </w:r>
    </w:p>
    <w:p w14:paraId="08DB0869" w14:textId="77777777" w:rsidR="001A1069" w:rsidRPr="006A53F7" w:rsidRDefault="001A1069" w:rsidP="001A1069">
      <w:pPr>
        <w:spacing w:line="240" w:lineRule="auto"/>
        <w:rPr>
          <w:rFonts w:ascii="Times New Roman" w:eastAsia="Times New Roman" w:hAnsi="Times New Roman" w:cs="Times New Roman"/>
          <w:lang w:val="en-PH" w:eastAsia="en-PH"/>
        </w:rPr>
      </w:pPr>
    </w:p>
    <w:p w14:paraId="55DE5020" w14:textId="77777777" w:rsidR="001A1069" w:rsidRPr="006A53F7" w:rsidRDefault="001A1069" w:rsidP="001A1069">
      <w:pPr>
        <w:spacing w:after="200" w:line="240" w:lineRule="auto"/>
        <w:ind w:firstLine="360"/>
        <w:jc w:val="both"/>
        <w:rPr>
          <w:rFonts w:ascii="Times New Roman" w:eastAsia="Times New Roman" w:hAnsi="Times New Roman" w:cs="Times New Roman"/>
          <w:lang w:val="en-PH" w:eastAsia="en-PH"/>
        </w:rPr>
      </w:pPr>
      <w:r w:rsidRPr="006A53F7">
        <w:rPr>
          <w:rFonts w:eastAsia="Times New Roman"/>
          <w:color w:val="000000"/>
          <w:lang w:val="en-PH" w:eastAsia="en-PH"/>
        </w:rPr>
        <w:t>A total of Two Hundred Sixty Seven (267) families in Rizal, Cagayan, Four Hundred Eighty (480) families in Santo Niño, Cagayan and One Hundred Twenty Four (124) families in Barangay Napo, Ambaguio, Nueva Vizcaya were affected/under emergency situations due to armed-conflict that leads to the impact of economic fall-out of the constituents. The Field Office II immediately acted and provided on the request of the Local Government Units (LGUs) through the Municipal Social Welfare and Development Officer (MSWDO) for the augmentation of Food and Non-Food Items (FNIs).</w:t>
      </w:r>
    </w:p>
    <w:tbl>
      <w:tblPr>
        <w:tblW w:w="0" w:type="auto"/>
        <w:tblCellMar>
          <w:top w:w="15" w:type="dxa"/>
          <w:left w:w="15" w:type="dxa"/>
          <w:bottom w:w="15" w:type="dxa"/>
          <w:right w:w="15" w:type="dxa"/>
        </w:tblCellMar>
        <w:tblLook w:val="04A0" w:firstRow="1" w:lastRow="0" w:firstColumn="1" w:lastColumn="0" w:noHBand="0" w:noVBand="1"/>
      </w:tblPr>
      <w:tblGrid>
        <w:gridCol w:w="510"/>
        <w:gridCol w:w="2665"/>
        <w:gridCol w:w="1391"/>
        <w:gridCol w:w="1464"/>
        <w:gridCol w:w="1780"/>
        <w:gridCol w:w="1464"/>
      </w:tblGrid>
      <w:tr w:rsidR="001A1069" w:rsidRPr="006A53F7" w14:paraId="7697E223" w14:textId="77777777" w:rsidTr="001A1069">
        <w:trPr>
          <w:trHeight w:val="5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4CD5E"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75EA6"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Municipality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6D56E"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Food Packs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6AF9B"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Total Cost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BB48F"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Non-Food Items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AB753"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Total Cost</w:t>
            </w:r>
          </w:p>
        </w:tc>
      </w:tr>
      <w:tr w:rsidR="001A1069" w:rsidRPr="006A53F7" w14:paraId="76B90AB9" w14:textId="77777777" w:rsidTr="001A1069">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B43A3"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EA5D8"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Rizal, Cagayan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4350"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267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C00A4"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₱166,074.00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196B5"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F57D3" w14:textId="77777777" w:rsidR="001A1069" w:rsidRPr="006A53F7" w:rsidRDefault="001A1069" w:rsidP="001A1069">
            <w:pPr>
              <w:spacing w:line="240" w:lineRule="auto"/>
              <w:rPr>
                <w:rFonts w:ascii="Times New Roman" w:eastAsia="Times New Roman" w:hAnsi="Times New Roman" w:cs="Times New Roman"/>
                <w:lang w:val="en-PH" w:eastAsia="en-PH"/>
              </w:rPr>
            </w:pPr>
          </w:p>
        </w:tc>
      </w:tr>
      <w:tr w:rsidR="001A1069" w:rsidRPr="006A53F7" w14:paraId="1B5EE3A6" w14:textId="77777777" w:rsidTr="001A1069">
        <w:trPr>
          <w:trHeight w:val="5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D4994"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C7BAC"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Santo Niño, Cagayan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14536"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480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8E648"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₱240,000.00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744CD"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754D8"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₱591,937.50</w:t>
            </w:r>
          </w:p>
        </w:tc>
      </w:tr>
      <w:tr w:rsidR="001A1069" w:rsidRPr="006A53F7" w14:paraId="15C3F1B9" w14:textId="77777777" w:rsidTr="001A1069">
        <w:trPr>
          <w:trHeight w:val="5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0107A"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4E27F"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Ambaguio, Nueva Vizcaya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21B99"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124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980FE"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₱77,128.00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663E5"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i/>
                <w:iCs/>
                <w:color w:val="000000"/>
                <w:lang w:val="en-PH" w:eastAsia="en-PH"/>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316F0" w14:textId="77777777" w:rsidR="001A1069" w:rsidRPr="006A53F7" w:rsidRDefault="001A1069" w:rsidP="001A1069">
            <w:pPr>
              <w:spacing w:line="240" w:lineRule="auto"/>
              <w:rPr>
                <w:rFonts w:ascii="Times New Roman" w:eastAsia="Times New Roman" w:hAnsi="Times New Roman" w:cs="Times New Roman"/>
                <w:lang w:val="en-PH" w:eastAsia="en-PH"/>
              </w:rPr>
            </w:pPr>
          </w:p>
        </w:tc>
      </w:tr>
      <w:tr w:rsidR="001A1069" w:rsidRPr="006A53F7" w14:paraId="69E691AF" w14:textId="77777777" w:rsidTr="001A1069">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CF57D" w14:textId="77777777" w:rsidR="001A1069" w:rsidRPr="006A53F7" w:rsidRDefault="001A1069" w:rsidP="001A1069">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2877E"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Grand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4A067"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871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A48AA"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₱483,202.00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272E8"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EFD42"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₱591,937.50</w:t>
            </w:r>
          </w:p>
        </w:tc>
      </w:tr>
    </w:tbl>
    <w:p w14:paraId="4D6FD611" w14:textId="77777777" w:rsidR="001A1069" w:rsidRPr="006A53F7" w:rsidRDefault="001A1069" w:rsidP="001A1069">
      <w:pPr>
        <w:spacing w:line="240" w:lineRule="auto"/>
        <w:rPr>
          <w:rFonts w:ascii="Times New Roman" w:eastAsia="Times New Roman" w:hAnsi="Times New Roman" w:cs="Times New Roman"/>
          <w:lang w:val="en-PH" w:eastAsia="en-PH"/>
        </w:rPr>
      </w:pPr>
      <w:r w:rsidRPr="006A53F7">
        <w:rPr>
          <w:rFonts w:ascii="Times New Roman" w:eastAsia="Times New Roman" w:hAnsi="Times New Roman" w:cs="Times New Roman"/>
          <w:lang w:val="en-PH" w:eastAsia="en-PH"/>
        </w:rPr>
        <w:br/>
      </w:r>
    </w:p>
    <w:p w14:paraId="56742ECE" w14:textId="77777777" w:rsidR="001A1069" w:rsidRPr="006A53F7" w:rsidRDefault="001A1069" w:rsidP="00516AD6">
      <w:pPr>
        <w:numPr>
          <w:ilvl w:val="0"/>
          <w:numId w:val="9"/>
        </w:numPr>
        <w:spacing w:line="240" w:lineRule="auto"/>
        <w:jc w:val="both"/>
        <w:textAlignment w:val="baseline"/>
        <w:rPr>
          <w:rFonts w:eastAsia="Times New Roman"/>
          <w:b/>
          <w:bCs/>
          <w:i/>
          <w:iCs/>
          <w:color w:val="000000"/>
          <w:lang w:val="en-PH" w:eastAsia="en-PH"/>
        </w:rPr>
      </w:pPr>
      <w:r w:rsidRPr="006A53F7">
        <w:rPr>
          <w:rFonts w:eastAsia="Times New Roman"/>
          <w:b/>
          <w:bCs/>
          <w:i/>
          <w:iCs/>
          <w:color w:val="000000"/>
          <w:lang w:val="en-PH" w:eastAsia="en-PH"/>
        </w:rPr>
        <w:t>Former Rebels</w:t>
      </w:r>
    </w:p>
    <w:p w14:paraId="42346C81" w14:textId="77777777" w:rsidR="001A1069" w:rsidRPr="006A53F7" w:rsidRDefault="001A1069" w:rsidP="001A1069">
      <w:pPr>
        <w:spacing w:line="240" w:lineRule="auto"/>
        <w:rPr>
          <w:rFonts w:ascii="Times New Roman" w:eastAsia="Times New Roman" w:hAnsi="Times New Roman" w:cs="Times New Roman"/>
          <w:lang w:val="en-PH" w:eastAsia="en-PH"/>
        </w:rPr>
      </w:pPr>
    </w:p>
    <w:tbl>
      <w:tblPr>
        <w:tblW w:w="0" w:type="auto"/>
        <w:tblCellMar>
          <w:top w:w="15" w:type="dxa"/>
          <w:left w:w="15" w:type="dxa"/>
          <w:bottom w:w="15" w:type="dxa"/>
          <w:right w:w="15" w:type="dxa"/>
        </w:tblCellMar>
        <w:tblLook w:val="04A0" w:firstRow="1" w:lastRow="0" w:firstColumn="1" w:lastColumn="0" w:noHBand="0" w:noVBand="1"/>
      </w:tblPr>
      <w:tblGrid>
        <w:gridCol w:w="510"/>
        <w:gridCol w:w="1488"/>
        <w:gridCol w:w="1451"/>
        <w:gridCol w:w="1891"/>
        <w:gridCol w:w="1292"/>
      </w:tblGrid>
      <w:tr w:rsidR="001A1069" w:rsidRPr="006A53F7" w14:paraId="15AC0C8E" w14:textId="77777777" w:rsidTr="001A1069">
        <w:trPr>
          <w:trHeight w:val="6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35844"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E2CE0"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Municipality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C771A"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Food Packs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1DF4F"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Non-Food Items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0C2C0"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Total Cost</w:t>
            </w:r>
          </w:p>
        </w:tc>
      </w:tr>
      <w:tr w:rsidR="001A1069" w:rsidRPr="006A53F7" w14:paraId="725170E5" w14:textId="77777777" w:rsidTr="001A1069">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A5E09"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62674"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Allacapan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E3045"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E91EC"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0CFD1"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₱1,000.00</w:t>
            </w:r>
          </w:p>
        </w:tc>
      </w:tr>
      <w:tr w:rsidR="001A1069" w:rsidRPr="006A53F7" w14:paraId="14C3028D" w14:textId="77777777" w:rsidTr="001A1069">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4F794"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AC24D"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Lallo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D0680"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F202A"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19F90"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₱500.00</w:t>
            </w:r>
          </w:p>
        </w:tc>
      </w:tr>
      <w:tr w:rsidR="001A1069" w:rsidRPr="006A53F7" w14:paraId="5BAAA4FB" w14:textId="77777777" w:rsidTr="001A1069">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58749" w14:textId="77777777" w:rsidR="001A1069" w:rsidRPr="006A53F7" w:rsidRDefault="001A1069" w:rsidP="001A1069">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3A781"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Grand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DCB3F"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AD905"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48A4E"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i/>
                <w:iCs/>
                <w:color w:val="000000"/>
                <w:lang w:val="en-PH" w:eastAsia="en-PH"/>
              </w:rPr>
              <w:t>₱1,500.00</w:t>
            </w:r>
          </w:p>
        </w:tc>
      </w:tr>
    </w:tbl>
    <w:p w14:paraId="3C88186F" w14:textId="77777777" w:rsidR="001A1069" w:rsidRPr="006A53F7" w:rsidRDefault="001A1069" w:rsidP="001A1069">
      <w:pPr>
        <w:spacing w:line="240" w:lineRule="auto"/>
        <w:rPr>
          <w:rFonts w:ascii="Times New Roman" w:eastAsia="Times New Roman" w:hAnsi="Times New Roman" w:cs="Times New Roman"/>
          <w:lang w:val="en-PH" w:eastAsia="en-PH"/>
        </w:rPr>
      </w:pPr>
    </w:p>
    <w:p w14:paraId="4C1E3FB4" w14:textId="77777777" w:rsidR="001A1069" w:rsidRDefault="001A1069" w:rsidP="001A1069">
      <w:pPr>
        <w:spacing w:line="240" w:lineRule="auto"/>
        <w:ind w:firstLine="360"/>
        <w:jc w:val="both"/>
        <w:rPr>
          <w:rFonts w:eastAsia="Times New Roman"/>
          <w:color w:val="000000"/>
          <w:lang w:val="en-PH" w:eastAsia="en-PH"/>
        </w:rPr>
      </w:pPr>
      <w:r w:rsidRPr="006A53F7">
        <w:rPr>
          <w:rFonts w:eastAsia="Times New Roman"/>
          <w:color w:val="000000"/>
          <w:lang w:val="en-PH" w:eastAsia="en-PH"/>
        </w:rPr>
        <w:t>The Field Office II provided Family Food Packs to address the needs of individuals who recently surrendered to the government and for them to involve in the different government project, programs and services through the convergence efforts of the National Government Agencies (NGAs) aligned with the whole-of-nation approach in bringing services closer to its people.</w:t>
      </w:r>
    </w:p>
    <w:p w14:paraId="2817B1D0" w14:textId="77777777" w:rsidR="004D02BD" w:rsidRPr="006A53F7" w:rsidRDefault="004D02BD" w:rsidP="001A1069">
      <w:pPr>
        <w:spacing w:line="240" w:lineRule="auto"/>
        <w:ind w:firstLine="360"/>
        <w:jc w:val="both"/>
        <w:rPr>
          <w:rFonts w:ascii="Times New Roman" w:eastAsia="Times New Roman" w:hAnsi="Times New Roman" w:cs="Times New Roman"/>
          <w:lang w:val="en-PH" w:eastAsia="en-PH"/>
        </w:rPr>
      </w:pPr>
    </w:p>
    <w:p w14:paraId="79C03702" w14:textId="77777777" w:rsidR="001A1069" w:rsidRPr="006A53F7" w:rsidRDefault="001A1069" w:rsidP="00516AD6">
      <w:pPr>
        <w:numPr>
          <w:ilvl w:val="0"/>
          <w:numId w:val="10"/>
        </w:numPr>
        <w:spacing w:after="200" w:line="240" w:lineRule="auto"/>
        <w:ind w:left="1080"/>
        <w:jc w:val="both"/>
        <w:textAlignment w:val="baseline"/>
        <w:rPr>
          <w:rFonts w:eastAsia="Times New Roman"/>
          <w:b/>
          <w:bCs/>
          <w:color w:val="000000"/>
          <w:lang w:val="en-PH" w:eastAsia="en-PH"/>
        </w:rPr>
      </w:pPr>
      <w:r w:rsidRPr="006A53F7">
        <w:rPr>
          <w:rFonts w:eastAsia="Times New Roman"/>
          <w:b/>
          <w:bCs/>
          <w:color w:val="000000"/>
          <w:lang w:val="en-PH" w:eastAsia="en-PH"/>
        </w:rPr>
        <w:t>Core Shelter Assistance Project (CSAP)</w:t>
      </w:r>
    </w:p>
    <w:p w14:paraId="5E0B4FA5" w14:textId="77777777" w:rsidR="001A1069" w:rsidRPr="006A53F7" w:rsidRDefault="001A1069" w:rsidP="001A1069">
      <w:pPr>
        <w:spacing w:line="240" w:lineRule="auto"/>
        <w:ind w:firstLine="720"/>
        <w:jc w:val="both"/>
        <w:rPr>
          <w:rFonts w:ascii="Times New Roman" w:eastAsia="Times New Roman" w:hAnsi="Times New Roman" w:cs="Times New Roman"/>
          <w:lang w:val="en-PH" w:eastAsia="en-PH"/>
        </w:rPr>
      </w:pPr>
      <w:r w:rsidRPr="006A53F7">
        <w:rPr>
          <w:rFonts w:eastAsia="Times New Roman"/>
          <w:color w:val="000000"/>
          <w:lang w:val="en-PH" w:eastAsia="en-PH"/>
        </w:rPr>
        <w:t xml:space="preserve">Of the 10,783 units extended from CY 2009 to 2017, there are already 10,279 units or 95.32% completed (some of the units were considered structurally completed which is lacking </w:t>
      </w:r>
      <w:r w:rsidRPr="006A53F7">
        <w:rPr>
          <w:rFonts w:eastAsia="Times New Roman"/>
          <w:color w:val="000000"/>
          <w:lang w:val="en-PH" w:eastAsia="en-PH"/>
        </w:rPr>
        <w:lastRenderedPageBreak/>
        <w:t>painting and plastering but liveable). To date, there are 504 or 4.67% units on-going construction (some of the units were pending implementation due to political problems). </w:t>
      </w:r>
    </w:p>
    <w:p w14:paraId="72FB59F6" w14:textId="77777777" w:rsidR="001A1069" w:rsidRPr="006A53F7" w:rsidRDefault="001A1069" w:rsidP="001A1069">
      <w:pPr>
        <w:spacing w:line="240" w:lineRule="auto"/>
        <w:rPr>
          <w:rFonts w:ascii="Times New Roman" w:eastAsia="Times New Roman" w:hAnsi="Times New Roman" w:cs="Times New Roman"/>
          <w:lang w:val="en-PH" w:eastAsia="en-PH"/>
        </w:rPr>
      </w:pPr>
    </w:p>
    <w:p w14:paraId="2FB71739" w14:textId="432DB1A7" w:rsidR="001A1069" w:rsidRPr="006A53F7" w:rsidRDefault="001A1069" w:rsidP="001A1069">
      <w:pPr>
        <w:spacing w:line="240" w:lineRule="auto"/>
        <w:ind w:firstLine="720"/>
        <w:jc w:val="both"/>
        <w:rPr>
          <w:rFonts w:ascii="Times New Roman" w:eastAsia="Times New Roman" w:hAnsi="Times New Roman" w:cs="Times New Roman"/>
          <w:lang w:val="en-PH" w:eastAsia="en-PH"/>
        </w:rPr>
      </w:pPr>
      <w:r w:rsidRPr="006A53F7">
        <w:rPr>
          <w:rFonts w:eastAsia="Times New Roman"/>
          <w:color w:val="000000"/>
          <w:lang w:val="en-PH" w:eastAsia="en-PH"/>
        </w:rPr>
        <w:t xml:space="preserve">For this quarter, </w:t>
      </w:r>
      <w:r w:rsidR="004D02BD">
        <w:rPr>
          <w:rFonts w:eastAsia="Times New Roman"/>
          <w:color w:val="000000"/>
          <w:lang w:val="en-PH" w:eastAsia="en-PH"/>
        </w:rPr>
        <w:t xml:space="preserve">inauguration and awarding of certificate of completions were made for  </w:t>
      </w:r>
      <w:r w:rsidRPr="006A53F7">
        <w:rPr>
          <w:rFonts w:eastAsia="Times New Roman"/>
          <w:color w:val="000000"/>
          <w:lang w:val="en-PH" w:eastAsia="en-PH"/>
        </w:rPr>
        <w:t>Kasibu, Nueva Vizcaya</w:t>
      </w:r>
      <w:r w:rsidR="004D02BD">
        <w:rPr>
          <w:rFonts w:eastAsia="Times New Roman"/>
          <w:color w:val="000000"/>
          <w:lang w:val="en-PH" w:eastAsia="en-PH"/>
        </w:rPr>
        <w:t xml:space="preserve"> (May 6, 2022), </w:t>
      </w:r>
      <w:r w:rsidRPr="006A53F7">
        <w:rPr>
          <w:rFonts w:eastAsia="Times New Roman"/>
          <w:color w:val="000000"/>
          <w:lang w:val="en-PH" w:eastAsia="en-PH"/>
        </w:rPr>
        <w:t xml:space="preserve"> </w:t>
      </w:r>
      <w:r w:rsidR="004372DF">
        <w:rPr>
          <w:rFonts w:eastAsia="Times New Roman"/>
          <w:color w:val="000000"/>
          <w:lang w:val="en-PH" w:eastAsia="en-PH"/>
        </w:rPr>
        <w:t>Piat, Cagayan</w:t>
      </w:r>
      <w:r w:rsidRPr="006A53F7">
        <w:rPr>
          <w:rFonts w:eastAsia="Times New Roman"/>
          <w:color w:val="000000"/>
          <w:lang w:val="en-PH" w:eastAsia="en-PH"/>
        </w:rPr>
        <w:t xml:space="preserve"> through virtual platform</w:t>
      </w:r>
      <w:r w:rsidR="004372DF">
        <w:rPr>
          <w:rFonts w:eastAsia="Times New Roman"/>
          <w:color w:val="000000"/>
          <w:lang w:val="en-PH" w:eastAsia="en-PH"/>
        </w:rPr>
        <w:t>( May 31, 2022) and (</w:t>
      </w:r>
      <w:r w:rsidRPr="006A53F7">
        <w:rPr>
          <w:rFonts w:eastAsia="Times New Roman"/>
          <w:color w:val="000000"/>
          <w:lang w:val="en-PH" w:eastAsia="en-PH"/>
        </w:rPr>
        <w:t>May 31, 2022</w:t>
      </w:r>
      <w:r w:rsidR="004372DF">
        <w:rPr>
          <w:rFonts w:eastAsia="Times New Roman"/>
          <w:color w:val="000000"/>
          <w:lang w:val="en-PH" w:eastAsia="en-PH"/>
        </w:rPr>
        <w:t>)</w:t>
      </w:r>
      <w:r w:rsidRPr="006A53F7">
        <w:rPr>
          <w:rFonts w:eastAsia="Times New Roman"/>
          <w:color w:val="000000"/>
          <w:lang w:val="en-PH" w:eastAsia="en-PH"/>
        </w:rPr>
        <w:t>. Hence, a total of 3,037 or 28.16% not yet inaugurated as of this time.</w:t>
      </w:r>
    </w:p>
    <w:p w14:paraId="1E02AC11" w14:textId="77777777" w:rsidR="001A1069" w:rsidRPr="006A53F7" w:rsidRDefault="001A1069" w:rsidP="001A1069">
      <w:pPr>
        <w:spacing w:line="240" w:lineRule="auto"/>
        <w:rPr>
          <w:rFonts w:ascii="Times New Roman" w:eastAsia="Times New Roman" w:hAnsi="Times New Roman" w:cs="Times New Roman"/>
          <w:lang w:val="en-PH" w:eastAsia="en-PH"/>
        </w:rPr>
      </w:pPr>
    </w:p>
    <w:tbl>
      <w:tblPr>
        <w:tblW w:w="0" w:type="auto"/>
        <w:tblCellMar>
          <w:top w:w="15" w:type="dxa"/>
          <w:left w:w="15" w:type="dxa"/>
          <w:bottom w:w="15" w:type="dxa"/>
          <w:right w:w="15" w:type="dxa"/>
        </w:tblCellMar>
        <w:tblLook w:val="04A0" w:firstRow="1" w:lastRow="0" w:firstColumn="1" w:lastColumn="0" w:noHBand="0" w:noVBand="1"/>
      </w:tblPr>
      <w:tblGrid>
        <w:gridCol w:w="2478"/>
        <w:gridCol w:w="1390"/>
        <w:gridCol w:w="1667"/>
        <w:gridCol w:w="1623"/>
        <w:gridCol w:w="2116"/>
      </w:tblGrid>
      <w:tr w:rsidR="001A1069" w:rsidRPr="006A53F7" w14:paraId="686254C2" w14:textId="77777777" w:rsidTr="001A1069">
        <w:trPr>
          <w:trHeight w:val="5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FD127"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Province/Municipality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7C23A"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Year Funded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2E49E"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Number of Units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9480E"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Amount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E25F0"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Date of Inauguration</w:t>
            </w:r>
          </w:p>
        </w:tc>
      </w:tr>
      <w:tr w:rsidR="001A1069" w:rsidRPr="006A53F7" w14:paraId="2384A554" w14:textId="77777777" w:rsidTr="001A1069">
        <w:trPr>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A77E3"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Nueva Vizcaya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5F809" w14:textId="77777777" w:rsidR="001A1069" w:rsidRPr="006A53F7" w:rsidRDefault="001A1069" w:rsidP="001A1069">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9506E" w14:textId="77777777" w:rsidR="001A1069" w:rsidRPr="006A53F7" w:rsidRDefault="001A1069" w:rsidP="001A1069">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F59D0" w14:textId="77777777" w:rsidR="001A1069" w:rsidRPr="006A53F7" w:rsidRDefault="001A1069" w:rsidP="001A1069">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54FD7" w14:textId="77777777" w:rsidR="001A1069" w:rsidRPr="006A53F7" w:rsidRDefault="001A1069" w:rsidP="001A1069">
            <w:pPr>
              <w:spacing w:line="240" w:lineRule="auto"/>
              <w:rPr>
                <w:rFonts w:ascii="Times New Roman" w:eastAsia="Times New Roman" w:hAnsi="Times New Roman" w:cs="Times New Roman"/>
                <w:lang w:val="en-PH" w:eastAsia="en-PH"/>
              </w:rPr>
            </w:pPr>
          </w:p>
        </w:tc>
      </w:tr>
      <w:tr w:rsidR="001A1069" w:rsidRPr="006A53F7" w14:paraId="49570291" w14:textId="77777777" w:rsidTr="001A1069">
        <w:trPr>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402A" w14:textId="77777777" w:rsidR="001A1069" w:rsidRPr="006A53F7" w:rsidRDefault="001A1069" w:rsidP="00516AD6">
            <w:pPr>
              <w:numPr>
                <w:ilvl w:val="0"/>
                <w:numId w:val="11"/>
              </w:numPr>
              <w:spacing w:line="240" w:lineRule="auto"/>
              <w:jc w:val="both"/>
              <w:textAlignment w:val="baseline"/>
              <w:rPr>
                <w:rFonts w:eastAsia="Times New Roman"/>
                <w:color w:val="000000"/>
                <w:lang w:val="en-PH" w:eastAsia="en-PH"/>
              </w:rPr>
            </w:pPr>
            <w:r w:rsidRPr="006A53F7">
              <w:rPr>
                <w:rFonts w:eastAsia="Times New Roman"/>
                <w:color w:val="000000"/>
                <w:lang w:val="en-PH" w:eastAsia="en-PH"/>
              </w:rPr>
              <w:t>Kasibu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54B06"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2011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BEEC1"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3708D"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4,200,000.00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1B69A"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May 6, 2022</w:t>
            </w:r>
          </w:p>
        </w:tc>
      </w:tr>
      <w:tr w:rsidR="001A1069" w:rsidRPr="006A53F7" w14:paraId="25A195C5" w14:textId="77777777" w:rsidTr="001A1069">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A5F9A"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Cagayan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25223" w14:textId="77777777" w:rsidR="001A1069" w:rsidRPr="006A53F7" w:rsidRDefault="001A1069" w:rsidP="001A1069">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5F596" w14:textId="77777777" w:rsidR="001A1069" w:rsidRPr="006A53F7" w:rsidRDefault="001A1069" w:rsidP="001A1069">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B527D" w14:textId="77777777" w:rsidR="001A1069" w:rsidRPr="006A53F7" w:rsidRDefault="001A1069" w:rsidP="001A1069">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83476" w14:textId="77777777" w:rsidR="001A1069" w:rsidRPr="006A53F7" w:rsidRDefault="001A1069" w:rsidP="001A1069">
            <w:pPr>
              <w:spacing w:line="240" w:lineRule="auto"/>
              <w:rPr>
                <w:rFonts w:ascii="Times New Roman" w:eastAsia="Times New Roman" w:hAnsi="Times New Roman" w:cs="Times New Roman"/>
                <w:lang w:val="en-PH" w:eastAsia="en-PH"/>
              </w:rPr>
            </w:pPr>
          </w:p>
        </w:tc>
      </w:tr>
      <w:tr w:rsidR="001A1069" w:rsidRPr="006A53F7" w14:paraId="77C44D78" w14:textId="77777777" w:rsidTr="001A1069">
        <w:trPr>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B66A1" w14:textId="77777777" w:rsidR="001A1069" w:rsidRPr="006A53F7" w:rsidRDefault="001A1069" w:rsidP="00516AD6">
            <w:pPr>
              <w:numPr>
                <w:ilvl w:val="0"/>
                <w:numId w:val="12"/>
              </w:numPr>
              <w:spacing w:line="240" w:lineRule="auto"/>
              <w:jc w:val="both"/>
              <w:textAlignment w:val="baseline"/>
              <w:rPr>
                <w:rFonts w:eastAsia="Times New Roman"/>
                <w:color w:val="000000"/>
                <w:lang w:val="en-PH" w:eastAsia="en-PH"/>
              </w:rPr>
            </w:pPr>
            <w:r w:rsidRPr="006A53F7">
              <w:rPr>
                <w:rFonts w:eastAsia="Times New Roman"/>
                <w:color w:val="000000"/>
                <w:lang w:val="en-PH" w:eastAsia="en-PH"/>
              </w:rPr>
              <w:t>Piat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D13F1"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2011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2DC24"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437E1"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3,500,000.00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094AC"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May 31, 2022</w:t>
            </w:r>
          </w:p>
        </w:tc>
      </w:tr>
      <w:tr w:rsidR="001A1069" w:rsidRPr="006A53F7" w14:paraId="158B2CC3" w14:textId="77777777" w:rsidTr="001A1069">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CDD45"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Isabela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17076" w14:textId="77777777" w:rsidR="001A1069" w:rsidRPr="006A53F7" w:rsidRDefault="001A1069" w:rsidP="001A1069">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45B40" w14:textId="77777777" w:rsidR="001A1069" w:rsidRPr="006A53F7" w:rsidRDefault="001A1069" w:rsidP="001A1069">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D6DCE" w14:textId="77777777" w:rsidR="001A1069" w:rsidRPr="006A53F7" w:rsidRDefault="001A1069" w:rsidP="001A1069">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A6394" w14:textId="77777777" w:rsidR="001A1069" w:rsidRPr="006A53F7" w:rsidRDefault="001A1069" w:rsidP="001A1069">
            <w:pPr>
              <w:spacing w:line="240" w:lineRule="auto"/>
              <w:rPr>
                <w:rFonts w:ascii="Times New Roman" w:eastAsia="Times New Roman" w:hAnsi="Times New Roman" w:cs="Times New Roman"/>
                <w:lang w:val="en-PH" w:eastAsia="en-PH"/>
              </w:rPr>
            </w:pPr>
          </w:p>
        </w:tc>
      </w:tr>
      <w:tr w:rsidR="001A1069" w:rsidRPr="006A53F7" w14:paraId="721F776E" w14:textId="77777777" w:rsidTr="001A1069">
        <w:trPr>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0265" w14:textId="77777777" w:rsidR="001A1069" w:rsidRPr="006A53F7" w:rsidRDefault="001A1069" w:rsidP="00516AD6">
            <w:pPr>
              <w:numPr>
                <w:ilvl w:val="0"/>
                <w:numId w:val="13"/>
              </w:numPr>
              <w:spacing w:line="240" w:lineRule="auto"/>
              <w:jc w:val="both"/>
              <w:textAlignment w:val="baseline"/>
              <w:rPr>
                <w:rFonts w:eastAsia="Times New Roman"/>
                <w:color w:val="000000"/>
                <w:lang w:val="en-PH" w:eastAsia="en-PH"/>
              </w:rPr>
            </w:pPr>
            <w:r w:rsidRPr="006A53F7">
              <w:rPr>
                <w:rFonts w:eastAsia="Times New Roman"/>
                <w:color w:val="000000"/>
                <w:lang w:val="en-PH" w:eastAsia="en-PH"/>
              </w:rPr>
              <w:t>Delfin Albano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59018"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2011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5B36C"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113BF"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21,000,000.00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F543E"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May 31, 2022</w:t>
            </w:r>
          </w:p>
        </w:tc>
      </w:tr>
      <w:tr w:rsidR="001A1069" w:rsidRPr="006A53F7" w14:paraId="30B9BBD7" w14:textId="77777777" w:rsidTr="001A1069">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5BDE8"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34C5D" w14:textId="77777777" w:rsidR="001A1069" w:rsidRPr="006A53F7" w:rsidRDefault="001A1069" w:rsidP="001A1069">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578E3"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B3B90" w14:textId="77777777" w:rsidR="001A1069" w:rsidRPr="006A53F7" w:rsidRDefault="001A1069" w:rsidP="001A1069">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28,700,000.00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8C567" w14:textId="77777777" w:rsidR="001A1069" w:rsidRPr="006A53F7" w:rsidRDefault="001A1069" w:rsidP="001A1069">
            <w:pPr>
              <w:spacing w:line="240" w:lineRule="auto"/>
              <w:rPr>
                <w:rFonts w:ascii="Times New Roman" w:eastAsia="Times New Roman" w:hAnsi="Times New Roman" w:cs="Times New Roman"/>
                <w:lang w:val="en-PH" w:eastAsia="en-PH"/>
              </w:rPr>
            </w:pPr>
          </w:p>
        </w:tc>
      </w:tr>
    </w:tbl>
    <w:p w14:paraId="6067E7A8" w14:textId="77777777" w:rsidR="001A1069" w:rsidRPr="006A53F7" w:rsidRDefault="001A1069" w:rsidP="001A1069">
      <w:pPr>
        <w:spacing w:line="240" w:lineRule="auto"/>
        <w:rPr>
          <w:rFonts w:ascii="Times New Roman" w:eastAsia="Times New Roman" w:hAnsi="Times New Roman" w:cs="Times New Roman"/>
          <w:lang w:val="en-PH" w:eastAsia="en-PH"/>
        </w:rPr>
      </w:pPr>
    </w:p>
    <w:p w14:paraId="63A7805F" w14:textId="30CD7F47" w:rsidR="001A1069" w:rsidRPr="006A53F7" w:rsidRDefault="00FC5A5F" w:rsidP="001A1069">
      <w:pPr>
        <w:spacing w:line="240" w:lineRule="auto"/>
        <w:ind w:firstLine="426"/>
        <w:jc w:val="both"/>
        <w:rPr>
          <w:rFonts w:ascii="Times New Roman" w:eastAsia="Times New Roman" w:hAnsi="Times New Roman" w:cs="Times New Roman"/>
          <w:lang w:val="en-PH" w:eastAsia="en-PH"/>
        </w:rPr>
      </w:pPr>
      <w:r>
        <w:rPr>
          <w:rFonts w:eastAsia="Times New Roman"/>
          <w:color w:val="000000"/>
          <w:lang w:val="en-PH" w:eastAsia="en-PH"/>
        </w:rPr>
        <w:t xml:space="preserve">The release </w:t>
      </w:r>
      <w:r w:rsidR="001A1069" w:rsidRPr="006A53F7">
        <w:rPr>
          <w:rFonts w:eastAsia="Times New Roman"/>
          <w:color w:val="000000"/>
          <w:lang w:val="en-PH" w:eastAsia="en-PH"/>
        </w:rPr>
        <w:t>of one (1) set of Child-Friendly Space (CFS) kits, one (1) set of Child-Friendly Space (CFS) tents, one (1) set Women-Friendly Space (WFS) kits and one (1) set Women-Friendly Space (WFS) tents as resource augmentation to ten (10) identified Local Government Units (LGUs) in the Provinces of Cagayan, Isabela, Quirino and Nueva Vizcaya for prepositioning and distribution in times of disaster or emergency. The LGUs signed the Memorandum of Agreement (MOA) as part of the Deed of Donation with Acceptance. As the lead agency on Camp Coordination and Camp Management (CCCM) and Internally Displaced Persons (IDPs) Protection, the agency is mandated to ensure an effective mechanism to prevent and respond to protection issues and concerns of various vulnerable sectors. </w:t>
      </w:r>
    </w:p>
    <w:p w14:paraId="2BF49740" w14:textId="77777777" w:rsidR="00112A2C" w:rsidRPr="00112A2C" w:rsidRDefault="00112A2C">
      <w:pPr>
        <w:rPr>
          <w:b/>
        </w:rPr>
      </w:pPr>
    </w:p>
    <w:p w14:paraId="615B4AD0" w14:textId="77777777" w:rsidR="001A1069" w:rsidRPr="001A1069" w:rsidRDefault="004B4CDE" w:rsidP="001A1069">
      <w:pPr>
        <w:jc w:val="both"/>
        <w:rPr>
          <w:b/>
        </w:rPr>
      </w:pPr>
      <w:r w:rsidRPr="001A1069">
        <w:rPr>
          <w:b/>
        </w:rPr>
        <w:t>OO 4 – CONTINUING COMPLIANCE OF SOCIAL WELFARE AND DEVELOPMENT AGENCIES (SWDA) TO STANDARDS IN THE DELIVERY OF SOCIAL SERVICES ENSURED</w:t>
      </w:r>
    </w:p>
    <w:p w14:paraId="0652023B" w14:textId="77777777" w:rsidR="001A1069" w:rsidRPr="001A1069" w:rsidRDefault="001A1069" w:rsidP="001A1069">
      <w:pPr>
        <w:spacing w:before="240" w:after="240"/>
        <w:jc w:val="both"/>
        <w:rPr>
          <w:color w:val="000000"/>
        </w:rPr>
      </w:pPr>
      <w:r w:rsidRPr="001A1069">
        <w:rPr>
          <w:color w:val="000000"/>
        </w:rPr>
        <w:t>This organizational outcome demonstrates the mandate of the DSWD as steerer or enabler of social welfare and development (SWD) intermediaries and other sector partners, through the setting of standards for and assessment of the quality of SWD programs and services being offered to the poor and vulnerable individuals, families, and communities.</w:t>
      </w:r>
    </w:p>
    <w:p w14:paraId="132C3DCB" w14:textId="77777777" w:rsidR="001A1069" w:rsidRPr="001A1069" w:rsidRDefault="001A1069" w:rsidP="001A1069">
      <w:pPr>
        <w:spacing w:before="240" w:after="240"/>
        <w:jc w:val="both"/>
        <w:rPr>
          <w:color w:val="000000"/>
        </w:rPr>
      </w:pPr>
      <w:r w:rsidRPr="001A1069">
        <w:rPr>
          <w:color w:val="000000"/>
        </w:rPr>
        <w:t>The DSWD SWDAs Regulatory Program aims to manage SWDAs and their implementation of SWD programs and services by establishing quality assurance measures. It involves the registration and licensing of SWDAs to operate, as well as the accreditation of SWD programs and services of SWDAs and service providers.</w:t>
      </w:r>
    </w:p>
    <w:p w14:paraId="234B5C9B" w14:textId="77777777" w:rsidR="001A1069" w:rsidRPr="006A53F7" w:rsidRDefault="00B63208" w:rsidP="00B63208">
      <w:pPr>
        <w:pStyle w:val="NormalWeb"/>
        <w:spacing w:before="0" w:beforeAutospacing="0" w:after="0" w:afterAutospacing="0"/>
        <w:jc w:val="both"/>
        <w:rPr>
          <w:rFonts w:ascii="Arial" w:hAnsi="Arial" w:cs="Arial"/>
          <w:color w:val="000000"/>
          <w:sz w:val="22"/>
          <w:szCs w:val="22"/>
        </w:rPr>
      </w:pPr>
      <w:r w:rsidRPr="006A53F7">
        <w:rPr>
          <w:rFonts w:ascii="Arial" w:hAnsi="Arial" w:cs="Arial"/>
          <w:color w:val="000000"/>
          <w:sz w:val="22"/>
          <w:szCs w:val="22"/>
        </w:rPr>
        <w:t>On the number of SWDAs with sustained compliance to SWD Standards the section has accomplished for the semester five (5) or 38.46% of its 13 new physical target for the year.  Despite the number of SWDAs monitored this quarter as presented above, the SB clarification issued last June 8, 2022 on the FO target on monitoring for sustained compliance to R/L has only credited the first five (5) SWDAs in the list. The original target was 17 SWDAs, whether or not they had valid R/L. The clarifying Memo now included the 13 or the entire universe of FO2 SWDAs with valid R/L only for monitoring.</w:t>
      </w:r>
    </w:p>
    <w:p w14:paraId="1D2C6134" w14:textId="77777777" w:rsidR="00B63208" w:rsidRPr="006A53F7" w:rsidRDefault="00B63208" w:rsidP="00B63208">
      <w:pPr>
        <w:pStyle w:val="NormalWeb"/>
        <w:spacing w:before="0" w:beforeAutospacing="0" w:after="0" w:afterAutospacing="0"/>
        <w:jc w:val="both"/>
        <w:rPr>
          <w:rFonts w:ascii="Arial" w:hAnsi="Arial" w:cs="Arial"/>
          <w:color w:val="000000"/>
          <w:sz w:val="22"/>
          <w:szCs w:val="22"/>
        </w:rPr>
      </w:pPr>
    </w:p>
    <w:p w14:paraId="4A99D8E3" w14:textId="77777777" w:rsidR="00B63208" w:rsidRPr="006A53F7" w:rsidRDefault="00B63208" w:rsidP="00516AD6">
      <w:pPr>
        <w:numPr>
          <w:ilvl w:val="0"/>
          <w:numId w:val="14"/>
        </w:numPr>
        <w:spacing w:line="240" w:lineRule="auto"/>
        <w:jc w:val="both"/>
        <w:textAlignment w:val="baseline"/>
        <w:rPr>
          <w:rFonts w:eastAsia="Times New Roman"/>
          <w:b/>
          <w:bCs/>
          <w:color w:val="000000"/>
          <w:lang w:val="en-PH" w:eastAsia="en-PH"/>
        </w:rPr>
      </w:pPr>
      <w:r w:rsidRPr="006A53F7">
        <w:rPr>
          <w:rFonts w:eastAsia="Times New Roman"/>
          <w:b/>
          <w:bCs/>
          <w:color w:val="000000"/>
          <w:lang w:val="en-PH" w:eastAsia="en-PH"/>
        </w:rPr>
        <w:t xml:space="preserve">Issuance of Registration Certificate to Social Welfare and Development Agencies. </w:t>
      </w:r>
      <w:r w:rsidRPr="006A53F7">
        <w:rPr>
          <w:rFonts w:eastAsia="Times New Roman"/>
          <w:color w:val="000000"/>
          <w:lang w:val="en-PH" w:eastAsia="en-PH"/>
        </w:rPr>
        <w:t xml:space="preserve">The Certificate of Registration attests that the aforementioned agency operates within the purview of Social Welfare and Development. The Section has facilitated the renewal of the </w:t>
      </w:r>
      <w:r w:rsidRPr="006A53F7">
        <w:rPr>
          <w:rFonts w:eastAsia="Times New Roman"/>
          <w:b/>
          <w:bCs/>
          <w:color w:val="000000"/>
          <w:lang w:val="en-PH" w:eastAsia="en-PH"/>
        </w:rPr>
        <w:t>Registration Certificate of Bambang Sunshine Project Organization Inc.</w:t>
      </w:r>
    </w:p>
    <w:p w14:paraId="0B2263DF" w14:textId="77777777" w:rsidR="00B63208" w:rsidRPr="006A53F7" w:rsidRDefault="00B63208" w:rsidP="00B63208">
      <w:pPr>
        <w:spacing w:line="240" w:lineRule="auto"/>
        <w:rPr>
          <w:rFonts w:ascii="Times New Roman" w:eastAsia="Times New Roman" w:hAnsi="Times New Roman" w:cs="Times New Roman"/>
          <w:lang w:val="en-PH" w:eastAsia="en-PH"/>
        </w:rPr>
      </w:pPr>
    </w:p>
    <w:p w14:paraId="415E089A" w14:textId="77777777" w:rsidR="00B63208" w:rsidRPr="006A53F7" w:rsidRDefault="00B63208" w:rsidP="00B63208">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lastRenderedPageBreak/>
        <w:t>As per FY 2022 OPC particularly for KRA item 51.a, the Section for this semester has met (2) two or 66.66% as against its (3) three target for the year. </w:t>
      </w:r>
    </w:p>
    <w:p w14:paraId="4F7CC453" w14:textId="77777777" w:rsidR="00B63208" w:rsidRPr="006A53F7" w:rsidRDefault="00B63208" w:rsidP="00B63208">
      <w:pPr>
        <w:spacing w:line="240" w:lineRule="auto"/>
        <w:rPr>
          <w:rFonts w:ascii="Times New Roman" w:eastAsia="Times New Roman" w:hAnsi="Times New Roman" w:cs="Times New Roman"/>
          <w:lang w:val="en-PH" w:eastAsia="en-PH"/>
        </w:rPr>
      </w:pPr>
    </w:p>
    <w:p w14:paraId="00848FD4" w14:textId="77777777" w:rsidR="00B63208" w:rsidRPr="006A53F7" w:rsidRDefault="00B63208" w:rsidP="00B63208">
      <w:pPr>
        <w:spacing w:line="240" w:lineRule="auto"/>
        <w:jc w:val="both"/>
        <w:textAlignment w:val="baseline"/>
        <w:rPr>
          <w:rFonts w:eastAsia="Times New Roman"/>
          <w:color w:val="000000"/>
          <w:lang w:val="en-PH" w:eastAsia="en-PH"/>
        </w:rPr>
      </w:pPr>
      <w:r w:rsidRPr="006A53F7">
        <w:rPr>
          <w:rFonts w:eastAsia="Times New Roman"/>
          <w:b/>
          <w:bCs/>
          <w:color w:val="000000"/>
          <w:lang w:val="en-PH" w:eastAsia="en-PH"/>
        </w:rPr>
        <w:t xml:space="preserve">B. Issuance of Certificate of License to Operate to Social Welfare and Development Agencies. </w:t>
      </w:r>
      <w:r w:rsidRPr="006A53F7">
        <w:rPr>
          <w:rFonts w:eastAsia="Times New Roman"/>
          <w:color w:val="000000"/>
          <w:lang w:val="en-PH" w:eastAsia="en-PH"/>
        </w:rPr>
        <w:t>For the semester, the Section has not received applications for the renewal of Certificate of License to Operate to be facilitated hence, no certificates were issued.</w:t>
      </w:r>
    </w:p>
    <w:p w14:paraId="788E6C2A" w14:textId="77777777" w:rsidR="00B63208" w:rsidRPr="006A53F7" w:rsidRDefault="00B63208" w:rsidP="00B63208">
      <w:pPr>
        <w:spacing w:line="240" w:lineRule="auto"/>
        <w:rPr>
          <w:rFonts w:ascii="Times New Roman" w:eastAsia="Times New Roman" w:hAnsi="Times New Roman" w:cs="Times New Roman"/>
          <w:lang w:val="en-PH" w:eastAsia="en-PH"/>
        </w:rPr>
      </w:pPr>
    </w:p>
    <w:p w14:paraId="0AD87149" w14:textId="77777777" w:rsidR="00B63208" w:rsidRPr="006A53F7" w:rsidRDefault="00B63208" w:rsidP="00B63208">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As per FY 2022 OPC particularly for KRA item 51.b, the section has already achieved for the first quarter its target of (3) three or 100% for the year. </w:t>
      </w:r>
    </w:p>
    <w:p w14:paraId="2C7EBD6F" w14:textId="77777777" w:rsidR="00B63208" w:rsidRPr="006A53F7" w:rsidRDefault="00B63208" w:rsidP="00B63208">
      <w:pPr>
        <w:spacing w:line="240" w:lineRule="auto"/>
        <w:rPr>
          <w:rFonts w:ascii="Times New Roman" w:eastAsia="Times New Roman" w:hAnsi="Times New Roman" w:cs="Times New Roman"/>
          <w:lang w:val="en-PH" w:eastAsia="en-PH"/>
        </w:rPr>
      </w:pPr>
    </w:p>
    <w:p w14:paraId="153622D8" w14:textId="77777777" w:rsidR="00B63208" w:rsidRPr="006A53F7" w:rsidRDefault="00B63208" w:rsidP="00B63208">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C. Accreditation of Service Providers </w:t>
      </w:r>
    </w:p>
    <w:p w14:paraId="58E371F0" w14:textId="77777777" w:rsidR="00677838" w:rsidRPr="006A53F7" w:rsidRDefault="00B63208" w:rsidP="00B63208">
      <w:pPr>
        <w:pStyle w:val="NormalWeb"/>
        <w:spacing w:before="0" w:beforeAutospacing="0" w:after="0" w:afterAutospacing="0"/>
        <w:jc w:val="both"/>
        <w:rPr>
          <w:rFonts w:ascii="Arial" w:hAnsi="Arial" w:cs="Arial"/>
          <w:color w:val="000000"/>
          <w:sz w:val="22"/>
          <w:szCs w:val="22"/>
        </w:rPr>
      </w:pPr>
      <w:r w:rsidRPr="006A53F7">
        <w:rPr>
          <w:sz w:val="22"/>
          <w:szCs w:val="22"/>
        </w:rPr>
        <w:br/>
      </w:r>
      <w:r w:rsidR="00677838" w:rsidRPr="006A53F7">
        <w:rPr>
          <w:rFonts w:ascii="Arial" w:hAnsi="Arial" w:cs="Arial"/>
          <w:b/>
          <w:bCs/>
          <w:color w:val="000000"/>
          <w:sz w:val="22"/>
          <w:szCs w:val="22"/>
        </w:rPr>
        <w:t xml:space="preserve">1. </w:t>
      </w:r>
      <w:r w:rsidRPr="006A53F7">
        <w:rPr>
          <w:rFonts w:ascii="Arial" w:hAnsi="Arial" w:cs="Arial"/>
          <w:b/>
          <w:bCs/>
          <w:color w:val="000000"/>
          <w:sz w:val="22"/>
          <w:szCs w:val="22"/>
        </w:rPr>
        <w:t>Pre-Marriage Counselors (PMCs).</w:t>
      </w:r>
      <w:r w:rsidRPr="006A53F7">
        <w:rPr>
          <w:rFonts w:ascii="Arial" w:hAnsi="Arial" w:cs="Arial"/>
          <w:color w:val="000000"/>
          <w:sz w:val="22"/>
          <w:szCs w:val="22"/>
        </w:rPr>
        <w:t xml:space="preserve"> </w:t>
      </w:r>
    </w:p>
    <w:p w14:paraId="2896EA3E" w14:textId="77777777" w:rsidR="00677838" w:rsidRPr="006A53F7" w:rsidRDefault="00677838" w:rsidP="00B63208">
      <w:pPr>
        <w:pStyle w:val="NormalWeb"/>
        <w:spacing w:before="0" w:beforeAutospacing="0" w:after="0" w:afterAutospacing="0"/>
        <w:jc w:val="both"/>
        <w:rPr>
          <w:rFonts w:ascii="Arial" w:hAnsi="Arial" w:cs="Arial"/>
          <w:color w:val="000000"/>
          <w:sz w:val="22"/>
          <w:szCs w:val="22"/>
        </w:rPr>
      </w:pPr>
    </w:p>
    <w:p w14:paraId="40A50F23" w14:textId="77777777" w:rsidR="00B63208" w:rsidRPr="006A53F7" w:rsidRDefault="00B63208" w:rsidP="00B63208">
      <w:pPr>
        <w:pStyle w:val="NormalWeb"/>
        <w:spacing w:before="0" w:beforeAutospacing="0" w:after="0" w:afterAutospacing="0"/>
        <w:jc w:val="both"/>
        <w:rPr>
          <w:rFonts w:ascii="Arial" w:hAnsi="Arial" w:cs="Arial"/>
          <w:color w:val="000000"/>
          <w:sz w:val="22"/>
          <w:szCs w:val="22"/>
        </w:rPr>
      </w:pPr>
      <w:r w:rsidRPr="006A53F7">
        <w:rPr>
          <w:rFonts w:ascii="Arial" w:hAnsi="Arial" w:cs="Arial"/>
          <w:color w:val="000000"/>
          <w:sz w:val="22"/>
          <w:szCs w:val="22"/>
        </w:rPr>
        <w:t>The Section has accredited six (6) PMCs and issued accreditation certificates for this semester.</w:t>
      </w:r>
    </w:p>
    <w:p w14:paraId="1742778D" w14:textId="77777777" w:rsidR="00677838" w:rsidRPr="006A53F7" w:rsidRDefault="00677838" w:rsidP="00B63208">
      <w:pPr>
        <w:pStyle w:val="NormalWeb"/>
        <w:spacing w:before="0" w:beforeAutospacing="0" w:after="0" w:afterAutospacing="0"/>
        <w:jc w:val="both"/>
        <w:rPr>
          <w:rFonts w:ascii="Arial" w:hAnsi="Arial" w:cs="Arial"/>
          <w:color w:val="000000"/>
          <w:sz w:val="22"/>
          <w:szCs w:val="22"/>
        </w:rPr>
      </w:pPr>
    </w:p>
    <w:p w14:paraId="6BF11AC9" w14:textId="77777777" w:rsidR="00677838" w:rsidRPr="006A53F7" w:rsidRDefault="00677838" w:rsidP="00677838">
      <w:pPr>
        <w:rPr>
          <w:color w:val="000000"/>
        </w:rPr>
      </w:pPr>
      <w:r w:rsidRPr="006A53F7">
        <w:rPr>
          <w:b/>
          <w:bCs/>
          <w:color w:val="000000"/>
        </w:rPr>
        <w:t>2. Accreditation of Day Care Centers and Day Care Workers.</w:t>
      </w:r>
      <w:r w:rsidRPr="006A53F7">
        <w:rPr>
          <w:color w:val="000000"/>
        </w:rPr>
        <w:t xml:space="preserve"> </w:t>
      </w:r>
    </w:p>
    <w:p w14:paraId="1B9D8490" w14:textId="77777777" w:rsidR="00677838" w:rsidRPr="006A53F7" w:rsidRDefault="00677838" w:rsidP="00677838">
      <w:pPr>
        <w:rPr>
          <w:color w:val="000000"/>
        </w:rPr>
      </w:pPr>
    </w:p>
    <w:p w14:paraId="04F33F64" w14:textId="77777777" w:rsidR="00677838" w:rsidRPr="006A53F7" w:rsidRDefault="00677838" w:rsidP="00677838">
      <w:pPr>
        <w:jc w:val="both"/>
        <w:rPr>
          <w:color w:val="000000"/>
        </w:rPr>
      </w:pPr>
      <w:r w:rsidRPr="006A53F7">
        <w:rPr>
          <w:color w:val="000000"/>
        </w:rPr>
        <w:t>The Section has recognized 119 Child Development Centers (DCCs)/ Child Development Workers (CDWs) for the quarter. For the semester the section has accredited 156 or 37.14% of its 420 annual targets of accredited service providers. </w:t>
      </w:r>
    </w:p>
    <w:p w14:paraId="02D37FDA" w14:textId="77777777" w:rsidR="00B63208" w:rsidRPr="006A53F7" w:rsidRDefault="00B63208" w:rsidP="00B63208">
      <w:pPr>
        <w:pStyle w:val="NormalWeb"/>
        <w:spacing w:before="0" w:beforeAutospacing="0" w:after="0" w:afterAutospacing="0"/>
        <w:jc w:val="both"/>
        <w:rPr>
          <w:rFonts w:ascii="Arial" w:hAnsi="Arial" w:cs="Arial"/>
          <w:color w:val="000000"/>
          <w:sz w:val="22"/>
          <w:szCs w:val="22"/>
        </w:rPr>
      </w:pPr>
    </w:p>
    <w:p w14:paraId="06DC7B3B" w14:textId="77777777" w:rsidR="00B63208" w:rsidRPr="006A53F7" w:rsidRDefault="00677838" w:rsidP="00B63208">
      <w:pPr>
        <w:pStyle w:val="NormalWeb"/>
        <w:spacing w:before="0" w:beforeAutospacing="0" w:after="0" w:afterAutospacing="0"/>
        <w:jc w:val="both"/>
        <w:rPr>
          <w:rFonts w:ascii="Arial" w:hAnsi="Arial" w:cs="Arial"/>
          <w:color w:val="000000"/>
          <w:sz w:val="22"/>
          <w:szCs w:val="22"/>
        </w:rPr>
      </w:pPr>
      <w:r w:rsidRPr="006A53F7">
        <w:rPr>
          <w:rFonts w:ascii="Arial" w:hAnsi="Arial" w:cs="Arial"/>
          <w:b/>
          <w:bCs/>
          <w:color w:val="000000"/>
          <w:sz w:val="22"/>
          <w:szCs w:val="22"/>
        </w:rPr>
        <w:t>D</w:t>
      </w:r>
      <w:r w:rsidR="00B63208" w:rsidRPr="006A53F7">
        <w:rPr>
          <w:rFonts w:ascii="Arial" w:hAnsi="Arial" w:cs="Arial"/>
          <w:b/>
          <w:bCs/>
          <w:color w:val="000000"/>
          <w:sz w:val="22"/>
          <w:szCs w:val="22"/>
        </w:rPr>
        <w:t>. Accreditation of Beneficiary Civil Society Organizations</w:t>
      </w:r>
      <w:r w:rsidR="00B63208" w:rsidRPr="006A53F7">
        <w:rPr>
          <w:rFonts w:ascii="Arial" w:hAnsi="Arial" w:cs="Arial"/>
          <w:color w:val="000000"/>
          <w:sz w:val="22"/>
          <w:szCs w:val="22"/>
        </w:rPr>
        <w:t xml:space="preserve"> </w:t>
      </w:r>
    </w:p>
    <w:p w14:paraId="53704048" w14:textId="77777777" w:rsidR="00B63208" w:rsidRPr="006A53F7" w:rsidRDefault="00B63208" w:rsidP="00B63208">
      <w:pPr>
        <w:pStyle w:val="NormalWeb"/>
        <w:spacing w:before="0" w:beforeAutospacing="0" w:after="0" w:afterAutospacing="0"/>
        <w:jc w:val="both"/>
        <w:rPr>
          <w:rFonts w:ascii="Arial" w:hAnsi="Arial" w:cs="Arial"/>
          <w:color w:val="000000"/>
          <w:sz w:val="22"/>
          <w:szCs w:val="22"/>
        </w:rPr>
      </w:pPr>
    </w:p>
    <w:p w14:paraId="145EDD52" w14:textId="77777777" w:rsidR="001A1069" w:rsidRPr="006A53F7" w:rsidRDefault="00B63208" w:rsidP="00677838">
      <w:pPr>
        <w:pStyle w:val="NormalWeb"/>
        <w:spacing w:before="0" w:beforeAutospacing="0" w:after="0" w:afterAutospacing="0"/>
        <w:jc w:val="both"/>
        <w:rPr>
          <w:sz w:val="22"/>
          <w:szCs w:val="22"/>
        </w:rPr>
      </w:pPr>
      <w:r w:rsidRPr="006A53F7">
        <w:rPr>
          <w:rFonts w:ascii="Arial" w:hAnsi="Arial" w:cs="Arial"/>
          <w:color w:val="000000"/>
          <w:sz w:val="22"/>
          <w:szCs w:val="22"/>
        </w:rPr>
        <w:t>For the semester, there were four (4) applicant SLP- CSOs issued with accreditation certificates.</w:t>
      </w:r>
    </w:p>
    <w:p w14:paraId="165D4ECF" w14:textId="77777777" w:rsidR="00B63208" w:rsidRDefault="00B63208"/>
    <w:p w14:paraId="14A521A3" w14:textId="77777777" w:rsidR="00677838" w:rsidRPr="00677838" w:rsidRDefault="004B4CDE" w:rsidP="00677838">
      <w:pPr>
        <w:jc w:val="both"/>
        <w:rPr>
          <w:b/>
        </w:rPr>
      </w:pPr>
      <w:r w:rsidRPr="00677838">
        <w:rPr>
          <w:b/>
        </w:rPr>
        <w:t>OO 5 – DELIVERY OF SOCIAL WELFARE AND DEVELOPMENT (SWD) PROGRAMS BY LOCAL GOVERNMENT UNITS (LGUS), THROUGH LOCAL SOCIAL WELFARE AND DEVELOPMENT OFFICES (LSWDOS) IMPROVED</w:t>
      </w:r>
    </w:p>
    <w:p w14:paraId="1E0813CD" w14:textId="77777777" w:rsidR="00677838" w:rsidRPr="00677838" w:rsidRDefault="00677838" w:rsidP="00677838">
      <w:pPr>
        <w:spacing w:before="240" w:after="240"/>
        <w:jc w:val="both"/>
        <w:rPr>
          <w:color w:val="000000"/>
        </w:rPr>
      </w:pPr>
      <w:r w:rsidRPr="00677838">
        <w:rPr>
          <w:color w:val="000000"/>
        </w:rPr>
        <w:t>The Local Social Welfare and Development Offices (LSWDOs) are crucial in the delivery of social welfare services and programs at the Local Government Unit (LGU) level as mandated in the Local Government Code. The DSWD, through Executive Order no. 221 series of 2003 is mandated to provide technical assistance and resource augmentation to enable LGUs, NGOs, other NGAs, POs, and other members of the civil society to implement social welfare and development programs including disaster management. Hence, the Department has continually committed as its strategic goal under Organizational Outcome 5 (OO5) to assist LGUs specifically LSWDOs in improving the delivery of social services and programs.</w:t>
      </w:r>
    </w:p>
    <w:p w14:paraId="36EC720B" w14:textId="77777777" w:rsidR="00677838" w:rsidRPr="006A53F7" w:rsidRDefault="00677838" w:rsidP="00677838">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The first semester of Calendar Year (CY) 2022 has opened chances for the Field Office 02 (FO2) in the conduct of face to face activities to its intermediaries compared to the previous semester with limited opportunities for such mode of conducting activities brought about by the Covid-19 pandemic. </w:t>
      </w:r>
    </w:p>
    <w:p w14:paraId="2497B67F" w14:textId="77777777" w:rsidR="00677838" w:rsidRPr="00677838" w:rsidRDefault="00677838" w:rsidP="00677838">
      <w:pPr>
        <w:jc w:val="both"/>
        <w:rPr>
          <w:rFonts w:eastAsia="Times New Roman"/>
          <w:color w:val="000000"/>
          <w:sz w:val="23"/>
          <w:szCs w:val="23"/>
          <w:lang w:val="en-PH" w:eastAsia="en-PH"/>
        </w:rPr>
      </w:pPr>
    </w:p>
    <w:p w14:paraId="6B40EE37" w14:textId="77777777" w:rsidR="00677838" w:rsidRDefault="00677838" w:rsidP="00677838">
      <w:pPr>
        <w:jc w:val="both"/>
        <w:rPr>
          <w:rFonts w:eastAsia="Times New Roman"/>
          <w:color w:val="000000"/>
          <w:sz w:val="23"/>
          <w:szCs w:val="23"/>
          <w:lang w:val="en-PH" w:eastAsia="en-PH"/>
        </w:rPr>
      </w:pPr>
      <w:r w:rsidRPr="00677838">
        <w:rPr>
          <w:rFonts w:eastAsia="Times New Roman"/>
          <w:color w:val="000000"/>
          <w:sz w:val="23"/>
          <w:szCs w:val="23"/>
          <w:lang w:val="en-PH" w:eastAsia="en-PH"/>
        </w:rPr>
        <w:t>Technical assistance was provided in preparation for the upcoming assessment of the functionality of the target LGUs through coordination with the LSWDOs on the preparation of the documents required during the Service Delivery Capacity Assessment in July and August 2022.</w:t>
      </w:r>
    </w:p>
    <w:p w14:paraId="34FFAA25" w14:textId="77777777" w:rsidR="00677838" w:rsidRPr="00677838" w:rsidRDefault="00677838" w:rsidP="00677838">
      <w:pPr>
        <w:spacing w:line="240" w:lineRule="auto"/>
        <w:jc w:val="both"/>
        <w:rPr>
          <w:rFonts w:ascii="Times New Roman" w:eastAsia="Times New Roman" w:hAnsi="Times New Roman" w:cs="Times New Roman"/>
          <w:sz w:val="24"/>
          <w:szCs w:val="24"/>
          <w:lang w:val="en-PH" w:eastAsia="en-PH"/>
        </w:rPr>
      </w:pPr>
      <w:r w:rsidRPr="00677838">
        <w:rPr>
          <w:rFonts w:eastAsia="Times New Roman"/>
          <w:color w:val="FF0000"/>
          <w:sz w:val="23"/>
          <w:szCs w:val="23"/>
          <w:lang w:val="en-PH" w:eastAsia="en-PH"/>
        </w:rPr>
        <w:t>  </w:t>
      </w:r>
    </w:p>
    <w:p w14:paraId="4F2F1226" w14:textId="77777777" w:rsidR="00677838" w:rsidRPr="00677838" w:rsidRDefault="00677838" w:rsidP="00677838">
      <w:pPr>
        <w:spacing w:line="240" w:lineRule="auto"/>
        <w:jc w:val="both"/>
        <w:rPr>
          <w:rFonts w:ascii="Times New Roman" w:eastAsia="Times New Roman" w:hAnsi="Times New Roman" w:cs="Times New Roman"/>
          <w:sz w:val="24"/>
          <w:szCs w:val="24"/>
          <w:lang w:val="en-PH" w:eastAsia="en-PH"/>
        </w:rPr>
      </w:pPr>
      <w:r w:rsidRPr="00677838">
        <w:rPr>
          <w:rFonts w:eastAsia="Times New Roman"/>
          <w:color w:val="000000"/>
          <w:sz w:val="23"/>
          <w:szCs w:val="23"/>
          <w:lang w:val="en-PH" w:eastAsia="en-PH"/>
        </w:rPr>
        <w:t>Highlights of accomplishments of the field office along the delivery of social protection services to LGUs/LSWDOs are as follows:</w:t>
      </w:r>
    </w:p>
    <w:p w14:paraId="5BD82B4C" w14:textId="77777777" w:rsidR="00677838" w:rsidRPr="00677838" w:rsidRDefault="00677838" w:rsidP="00677838">
      <w:pPr>
        <w:spacing w:line="240" w:lineRule="auto"/>
        <w:rPr>
          <w:rFonts w:ascii="Times New Roman" w:eastAsia="Times New Roman" w:hAnsi="Times New Roman" w:cs="Times New Roman"/>
          <w:sz w:val="24"/>
          <w:szCs w:val="24"/>
          <w:lang w:val="en-PH" w:eastAsia="en-PH"/>
        </w:rPr>
      </w:pPr>
    </w:p>
    <w:p w14:paraId="0F01E73E" w14:textId="77777777" w:rsidR="00677838" w:rsidRPr="006A53F7" w:rsidRDefault="00677838" w:rsidP="00516AD6">
      <w:pPr>
        <w:pStyle w:val="ListParagraph"/>
        <w:numPr>
          <w:ilvl w:val="0"/>
          <w:numId w:val="15"/>
        </w:numPr>
        <w:spacing w:line="240" w:lineRule="auto"/>
        <w:jc w:val="both"/>
        <w:rPr>
          <w:rFonts w:eastAsia="Times New Roman"/>
          <w:color w:val="000000"/>
          <w:lang w:val="en-PH" w:eastAsia="en-PH"/>
        </w:rPr>
      </w:pPr>
      <w:r w:rsidRPr="006A53F7">
        <w:rPr>
          <w:rFonts w:eastAsia="Times New Roman"/>
          <w:color w:val="000000"/>
          <w:lang w:val="en-PH" w:eastAsia="en-PH"/>
        </w:rPr>
        <w:t xml:space="preserve">Technical assistance was provided to LGUs/LSWDOs designated for assessment for the year by providing the list of items required for the assessment. Some LGU concerns, such </w:t>
      </w:r>
      <w:r w:rsidRPr="006A53F7">
        <w:rPr>
          <w:rFonts w:eastAsia="Times New Roman"/>
          <w:color w:val="000000"/>
          <w:lang w:val="en-PH" w:eastAsia="en-PH"/>
        </w:rPr>
        <w:lastRenderedPageBreak/>
        <w:t>as the need for an orientation on the New Early Childhood Care and Development (ECCD) Guidelines, adoption concerns, and the need for a resource person, were coordinated with the respective Field Office 02 offices for appropriate responses. The Children Sector also provided technical assistance to local governments in the areas of Child Labor Local Registry System, Child at Risk (CAR), and Children in Conflict with the Law (CICL). Capacity-building activities were also provided to some LGUs that replicated the Social Technology Unit's Yakap Bayan Program (YBP) (STU).</w:t>
      </w:r>
    </w:p>
    <w:p w14:paraId="5710E6D3" w14:textId="77777777" w:rsidR="00677838" w:rsidRPr="006A53F7" w:rsidRDefault="00677838" w:rsidP="00677838">
      <w:pPr>
        <w:pStyle w:val="ListParagraph"/>
        <w:spacing w:line="240" w:lineRule="auto"/>
        <w:rPr>
          <w:rFonts w:ascii="Times New Roman" w:eastAsia="Times New Roman" w:hAnsi="Times New Roman" w:cs="Times New Roman"/>
          <w:lang w:val="en-PH" w:eastAsia="en-PH"/>
        </w:rPr>
      </w:pPr>
    </w:p>
    <w:p w14:paraId="3E741A6C" w14:textId="77777777" w:rsidR="00677838" w:rsidRPr="006A53F7" w:rsidRDefault="00677838" w:rsidP="00516AD6">
      <w:pPr>
        <w:pStyle w:val="ListParagraph"/>
        <w:numPr>
          <w:ilvl w:val="0"/>
          <w:numId w:val="15"/>
        </w:num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The TARA Focal Person organized the first and second quarterly Regional Monitoring Team (RMT) meetings via a virtual platform. The first quarter meeting focused on the TARA Program and LSWDO SDCA Guidelines/Assessment Tool, Level of Functionality of the LGUs/LSWDOs, SDCA Results, recommendations, findings, and impact (2019-2021), TARA 2022 Physical Targets, TARA Parameters, and SDCA Target Schedule, while the second quarter discussion, also conducted via virtual platform, focused on the Specific Schedule in the Conduct of Service Delivery Capacity Assessment (SDCA), Target LGUs for Re- The RMT was informed that the assessment will only take place during the months of July and August because the following months are intended for encoding.</w:t>
      </w:r>
    </w:p>
    <w:p w14:paraId="07267F0C" w14:textId="77777777" w:rsidR="00677838" w:rsidRPr="006A53F7" w:rsidRDefault="00677838" w:rsidP="00677838">
      <w:pPr>
        <w:spacing w:line="240" w:lineRule="auto"/>
        <w:rPr>
          <w:rFonts w:ascii="Times New Roman" w:eastAsia="Times New Roman" w:hAnsi="Times New Roman" w:cs="Times New Roman"/>
          <w:lang w:val="en-PH" w:eastAsia="en-PH"/>
        </w:rPr>
      </w:pPr>
    </w:p>
    <w:p w14:paraId="6AE4B2B8" w14:textId="77777777" w:rsidR="00677838" w:rsidRPr="006A53F7" w:rsidRDefault="00677838" w:rsidP="00677838">
      <w:pPr>
        <w:spacing w:line="240" w:lineRule="auto"/>
        <w:jc w:val="both"/>
        <w:rPr>
          <w:rFonts w:eastAsia="Times New Roman"/>
          <w:color w:val="000000"/>
          <w:lang w:val="en-PH" w:eastAsia="en-PH"/>
        </w:rPr>
      </w:pPr>
      <w:r w:rsidRPr="006A53F7">
        <w:rPr>
          <w:rFonts w:eastAsia="Times New Roman"/>
          <w:color w:val="000000"/>
          <w:lang w:val="en-PH" w:eastAsia="en-PH"/>
        </w:rPr>
        <w:t xml:space="preserve"> </w:t>
      </w:r>
    </w:p>
    <w:p w14:paraId="62A921FF" w14:textId="77777777" w:rsidR="00677838" w:rsidRPr="006A53F7" w:rsidRDefault="00677838" w:rsidP="00516AD6">
      <w:pPr>
        <w:pStyle w:val="ListParagraph"/>
        <w:numPr>
          <w:ilvl w:val="0"/>
          <w:numId w:val="15"/>
        </w:num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The TARA Focal was able to coordinate with offices in the planning and delivery of activities for technical assistance like the request of an LGU for an Orientation on Adoption which was coordinated with Adoption Resource and Referral Section (ARRS), follow ups made with LGUs on their inputs on the SWD Law Monitoring Reports in support to PDPS.</w:t>
      </w:r>
    </w:p>
    <w:p w14:paraId="0D8A15DF" w14:textId="77777777" w:rsidR="00677838" w:rsidRPr="00677838" w:rsidRDefault="00677838" w:rsidP="00677838">
      <w:pPr>
        <w:spacing w:line="240" w:lineRule="auto"/>
        <w:rPr>
          <w:rFonts w:ascii="Times New Roman" w:eastAsia="Times New Roman" w:hAnsi="Times New Roman" w:cs="Times New Roman"/>
          <w:sz w:val="24"/>
          <w:szCs w:val="24"/>
          <w:lang w:val="en-PH" w:eastAsia="en-PH"/>
        </w:rPr>
      </w:pPr>
    </w:p>
    <w:p w14:paraId="0575C483" w14:textId="77777777" w:rsidR="00677838" w:rsidRPr="00677838" w:rsidRDefault="00677838" w:rsidP="00677838">
      <w:pPr>
        <w:spacing w:line="240" w:lineRule="auto"/>
        <w:jc w:val="both"/>
        <w:textAlignment w:val="baseline"/>
        <w:rPr>
          <w:rFonts w:eastAsia="Times New Roman"/>
          <w:color w:val="000000"/>
          <w:sz w:val="23"/>
          <w:szCs w:val="23"/>
          <w:lang w:val="en-PH" w:eastAsia="en-PH"/>
        </w:rPr>
      </w:pPr>
      <w:r w:rsidRPr="00677838">
        <w:rPr>
          <w:rFonts w:eastAsia="Times New Roman"/>
          <w:b/>
          <w:bCs/>
          <w:color w:val="000000"/>
          <w:sz w:val="23"/>
          <w:szCs w:val="23"/>
          <w:lang w:val="en-PH" w:eastAsia="en-PH"/>
        </w:rPr>
        <w:t>Forms of Resource Augmentation (RA) Provided</w:t>
      </w:r>
    </w:p>
    <w:p w14:paraId="1200876C" w14:textId="77777777" w:rsidR="00677838" w:rsidRPr="00677838" w:rsidRDefault="00677838" w:rsidP="00677838">
      <w:pPr>
        <w:spacing w:line="240" w:lineRule="auto"/>
        <w:rPr>
          <w:rFonts w:ascii="Times New Roman" w:eastAsia="Times New Roman" w:hAnsi="Times New Roman" w:cs="Times New Roman"/>
          <w:sz w:val="24"/>
          <w:szCs w:val="24"/>
          <w:lang w:val="en-PH" w:eastAsia="en-PH"/>
        </w:rPr>
      </w:pPr>
    </w:p>
    <w:p w14:paraId="3957E5B2" w14:textId="77777777" w:rsidR="00677838" w:rsidRPr="00677838" w:rsidRDefault="00677838" w:rsidP="00677838">
      <w:pPr>
        <w:spacing w:line="240" w:lineRule="auto"/>
        <w:jc w:val="both"/>
        <w:rPr>
          <w:rFonts w:ascii="Times New Roman" w:eastAsia="Times New Roman" w:hAnsi="Times New Roman" w:cs="Times New Roman"/>
          <w:sz w:val="24"/>
          <w:szCs w:val="24"/>
          <w:lang w:val="en-PH" w:eastAsia="en-PH"/>
        </w:rPr>
      </w:pPr>
      <w:r w:rsidRPr="00677838">
        <w:rPr>
          <w:rFonts w:eastAsia="Times New Roman"/>
          <w:color w:val="000000"/>
          <w:sz w:val="23"/>
          <w:szCs w:val="23"/>
          <w:lang w:val="en-PH" w:eastAsia="en-PH"/>
        </w:rPr>
        <w:t>The field office through the Disaster Response and Recovery Section continuously provides augmentation support to the department’s partner LGUs on Family Food Packs, hygienic items and sanitary kits for those with reported Covid-19 cases (though minimal).</w:t>
      </w:r>
    </w:p>
    <w:p w14:paraId="7C139EA0" w14:textId="77777777" w:rsidR="00677838" w:rsidRDefault="00677838"/>
    <w:p w14:paraId="17B94C79" w14:textId="77777777" w:rsidR="00677838" w:rsidRDefault="00677838"/>
    <w:p w14:paraId="3AB78A9C" w14:textId="77777777" w:rsidR="004B4CDE" w:rsidRPr="00216377" w:rsidRDefault="004B4CDE">
      <w:pPr>
        <w:rPr>
          <w:b/>
        </w:rPr>
      </w:pPr>
      <w:r w:rsidRPr="00216377">
        <w:rPr>
          <w:b/>
        </w:rPr>
        <w:t>SUPPORT TO OPERATIONS &amp; GENERAL ADMINISTRATION &amp; SUPPORT SERVICES</w:t>
      </w:r>
    </w:p>
    <w:p w14:paraId="2E4D558B" w14:textId="77777777" w:rsidR="00FE03DB" w:rsidRDefault="00FE03DB"/>
    <w:p w14:paraId="67D78B49" w14:textId="77777777" w:rsidR="00FE03DB" w:rsidRDefault="00216377">
      <w:pPr>
        <w:rPr>
          <w:b/>
          <w:color w:val="000000" w:themeColor="text1"/>
        </w:rPr>
      </w:pPr>
      <w:r>
        <w:rPr>
          <w:b/>
          <w:color w:val="000000" w:themeColor="text1"/>
        </w:rPr>
        <w:t>Policy and Plans Development</w:t>
      </w:r>
    </w:p>
    <w:p w14:paraId="53076EE6" w14:textId="77777777" w:rsidR="00216377" w:rsidRDefault="00216377">
      <w:pPr>
        <w:rPr>
          <w:b/>
          <w:color w:val="000000" w:themeColor="text1"/>
        </w:rPr>
      </w:pPr>
    </w:p>
    <w:p w14:paraId="5F363F4D" w14:textId="77777777" w:rsidR="00216377" w:rsidRDefault="00216377" w:rsidP="00516AD6">
      <w:pPr>
        <w:pStyle w:val="ListParagraph"/>
        <w:numPr>
          <w:ilvl w:val="0"/>
          <w:numId w:val="15"/>
        </w:numPr>
        <w:jc w:val="both"/>
        <w:rPr>
          <w:color w:val="000000" w:themeColor="text1"/>
        </w:rPr>
      </w:pPr>
      <w:r w:rsidRPr="005B7BB5">
        <w:rPr>
          <w:color w:val="000000" w:themeColor="text1"/>
        </w:rPr>
        <w:t xml:space="preserve">The Field Office was able to submit the Joint RDC and </w:t>
      </w:r>
      <w:r w:rsidR="005B7BB5" w:rsidRPr="005B7BB5">
        <w:rPr>
          <w:color w:val="000000" w:themeColor="text1"/>
        </w:rPr>
        <w:t>Regional Budget Review Committee</w:t>
      </w:r>
      <w:r w:rsidRPr="005B7BB5">
        <w:rPr>
          <w:color w:val="000000" w:themeColor="text1"/>
        </w:rPr>
        <w:t xml:space="preserve"> </w:t>
      </w:r>
      <w:r w:rsidR="005B7BB5" w:rsidRPr="005B7BB5">
        <w:rPr>
          <w:color w:val="000000" w:themeColor="text1"/>
        </w:rPr>
        <w:t>Resolution</w:t>
      </w:r>
      <w:r w:rsidRPr="005B7BB5">
        <w:rPr>
          <w:color w:val="000000" w:themeColor="text1"/>
        </w:rPr>
        <w:t xml:space="preserve"> No. 02-2</w:t>
      </w:r>
      <w:r w:rsidR="005B7BB5" w:rsidRPr="005B7BB5">
        <w:rPr>
          <w:color w:val="000000" w:themeColor="text1"/>
        </w:rPr>
        <w:t>8</w:t>
      </w:r>
      <w:r w:rsidRPr="005B7BB5">
        <w:rPr>
          <w:color w:val="000000" w:themeColor="text1"/>
        </w:rPr>
        <w:t>-2</w:t>
      </w:r>
      <w:r w:rsidR="005B7BB5" w:rsidRPr="005B7BB5">
        <w:rPr>
          <w:color w:val="000000" w:themeColor="text1"/>
        </w:rPr>
        <w:t>022</w:t>
      </w:r>
      <w:r w:rsidRPr="005B7BB5">
        <w:rPr>
          <w:color w:val="000000" w:themeColor="text1"/>
        </w:rPr>
        <w:t xml:space="preserve"> endorsing the </w:t>
      </w:r>
      <w:r w:rsidR="005B7BB5" w:rsidRPr="005B7BB5">
        <w:rPr>
          <w:color w:val="000000" w:themeColor="text1"/>
        </w:rPr>
        <w:t xml:space="preserve">FY 2023 </w:t>
      </w:r>
      <w:r w:rsidRPr="005B7BB5">
        <w:rPr>
          <w:color w:val="000000" w:themeColor="text1"/>
        </w:rPr>
        <w:t xml:space="preserve">DSWD Field Office Proposed Budget </w:t>
      </w:r>
      <w:r w:rsidR="005B7BB5" w:rsidRPr="005B7BB5">
        <w:rPr>
          <w:color w:val="000000" w:themeColor="text1"/>
        </w:rPr>
        <w:t xml:space="preserve">amounting to Php 5,021,953.00. Also, a similar memorandum is forwarded to the Officer of the Secretary for reference and information. </w:t>
      </w:r>
    </w:p>
    <w:p w14:paraId="3F274D55" w14:textId="374EC46C" w:rsidR="005B7BB5" w:rsidRDefault="005B7BB5" w:rsidP="00516AD6">
      <w:pPr>
        <w:pStyle w:val="ListParagraph"/>
        <w:numPr>
          <w:ilvl w:val="0"/>
          <w:numId w:val="15"/>
        </w:numPr>
        <w:jc w:val="both"/>
        <w:rPr>
          <w:color w:val="000000" w:themeColor="text1"/>
        </w:rPr>
      </w:pPr>
      <w:r>
        <w:rPr>
          <w:color w:val="000000" w:themeColor="text1"/>
        </w:rPr>
        <w:t xml:space="preserve">Operation Review Meetings </w:t>
      </w:r>
      <w:r w:rsidR="00FC5A5F">
        <w:rPr>
          <w:color w:val="000000" w:themeColor="text1"/>
        </w:rPr>
        <w:t>were</w:t>
      </w:r>
      <w:r>
        <w:rPr>
          <w:color w:val="000000" w:themeColor="text1"/>
        </w:rPr>
        <w:t xml:space="preserve"> conducted to determine the extent of accomplishment of the commitment in the Strategic Contribution Implementations plans and other PGS commitments. </w:t>
      </w:r>
    </w:p>
    <w:p w14:paraId="61CE7FFB" w14:textId="77777777" w:rsidR="005B7BB5" w:rsidRDefault="005B7BB5" w:rsidP="00516AD6">
      <w:pPr>
        <w:pStyle w:val="ListParagraph"/>
        <w:numPr>
          <w:ilvl w:val="0"/>
          <w:numId w:val="15"/>
        </w:numPr>
        <w:jc w:val="both"/>
        <w:rPr>
          <w:color w:val="000000" w:themeColor="text1"/>
        </w:rPr>
      </w:pPr>
      <w:r>
        <w:rPr>
          <w:color w:val="000000" w:themeColor="text1"/>
        </w:rPr>
        <w:t xml:space="preserve">In line with provision of technical assistance along with the preparation of Social Protection Development Reports, the PDPS technical staff was acted as resource persons durung the SWD Forum in two batches held on April 8, 2022 and April 26-27, 2022. Cascading Sessions for the formulation of CY 2022 Strategic Contributions was also participated by the PGS TWG on 28 June 2022. </w:t>
      </w:r>
    </w:p>
    <w:p w14:paraId="4A10B2AC" w14:textId="77777777" w:rsidR="005B7BB5" w:rsidRDefault="005B7BB5" w:rsidP="00516AD6">
      <w:pPr>
        <w:pStyle w:val="ListParagraph"/>
        <w:numPr>
          <w:ilvl w:val="0"/>
          <w:numId w:val="15"/>
        </w:numPr>
        <w:jc w:val="both"/>
        <w:rPr>
          <w:color w:val="000000" w:themeColor="text1"/>
        </w:rPr>
      </w:pPr>
      <w:r>
        <w:rPr>
          <w:color w:val="000000" w:themeColor="text1"/>
        </w:rPr>
        <w:t>Conducted a series of meetings with Regional Research and Evaluation Technical Working Group and Consultation Meetings with Cagayan State University relative to the ongoing</w:t>
      </w:r>
      <w:r w:rsidRPr="005B7BB5">
        <w:rPr>
          <w:color w:val="000000" w:themeColor="text1"/>
        </w:rPr>
        <w:t xml:space="preserve"> </w:t>
      </w:r>
      <w:r>
        <w:rPr>
          <w:color w:val="000000" w:themeColor="text1"/>
        </w:rPr>
        <w:t xml:space="preserve">commissioned </w:t>
      </w:r>
      <w:r w:rsidRPr="005B7BB5">
        <w:rPr>
          <w:color w:val="000000" w:themeColor="text1"/>
        </w:rPr>
        <w:t>research entitled “Impact assessment of programs and services of DSWD in Region 02</w:t>
      </w:r>
      <w:r>
        <w:rPr>
          <w:color w:val="000000" w:themeColor="text1"/>
        </w:rPr>
        <w:t xml:space="preserve">. </w:t>
      </w:r>
    </w:p>
    <w:p w14:paraId="7DA35F4D" w14:textId="77777777" w:rsidR="005B7BB5" w:rsidRDefault="00285FDE" w:rsidP="00516AD6">
      <w:pPr>
        <w:pStyle w:val="ListParagraph"/>
        <w:numPr>
          <w:ilvl w:val="0"/>
          <w:numId w:val="15"/>
        </w:numPr>
        <w:jc w:val="both"/>
        <w:rPr>
          <w:color w:val="000000" w:themeColor="text1"/>
        </w:rPr>
      </w:pPr>
      <w:r>
        <w:rPr>
          <w:color w:val="000000" w:themeColor="text1"/>
        </w:rPr>
        <w:lastRenderedPageBreak/>
        <w:t>Regular virtual technical a</w:t>
      </w:r>
      <w:r w:rsidR="005B7BB5">
        <w:rPr>
          <w:color w:val="000000" w:themeColor="text1"/>
        </w:rPr>
        <w:t>ssistance was also provided to LGUs in relation to the online encoding of ECCD-IS</w:t>
      </w:r>
      <w:r>
        <w:rPr>
          <w:color w:val="000000" w:themeColor="text1"/>
        </w:rPr>
        <w:t xml:space="preserve"> in preparation for the SGLG assessment of DILG. </w:t>
      </w:r>
      <w:r w:rsidR="005B7BB5">
        <w:rPr>
          <w:color w:val="000000" w:themeColor="text1"/>
        </w:rPr>
        <w:t xml:space="preserve"> </w:t>
      </w:r>
    </w:p>
    <w:p w14:paraId="7F8BFF9C" w14:textId="77777777" w:rsidR="00285FDE" w:rsidRDefault="00285FDE" w:rsidP="00516AD6">
      <w:pPr>
        <w:pStyle w:val="ListParagraph"/>
        <w:numPr>
          <w:ilvl w:val="0"/>
          <w:numId w:val="15"/>
        </w:numPr>
        <w:jc w:val="both"/>
        <w:rPr>
          <w:color w:val="000000" w:themeColor="text1"/>
        </w:rPr>
      </w:pPr>
      <w:r w:rsidRPr="00285FDE">
        <w:rPr>
          <w:color w:val="000000" w:themeColor="text1"/>
        </w:rPr>
        <w:t xml:space="preserve">Field Office 2 monitored the compliance of LGUs with SWD Laws using the KOBO Tool </w:t>
      </w:r>
      <w:r>
        <w:rPr>
          <w:color w:val="000000" w:themeColor="text1"/>
        </w:rPr>
        <w:t>for the CY 2021 2</w:t>
      </w:r>
      <w:r w:rsidRPr="00285FDE">
        <w:rPr>
          <w:color w:val="000000" w:themeColor="text1"/>
          <w:vertAlign w:val="superscript"/>
        </w:rPr>
        <w:t>nd</w:t>
      </w:r>
      <w:r>
        <w:rPr>
          <w:color w:val="000000" w:themeColor="text1"/>
        </w:rPr>
        <w:t xml:space="preserve"> Semester compliance report </w:t>
      </w:r>
      <w:r w:rsidRPr="00285FDE">
        <w:rPr>
          <w:color w:val="000000" w:themeColor="text1"/>
        </w:rPr>
        <w:t xml:space="preserve">which </w:t>
      </w:r>
      <w:r>
        <w:rPr>
          <w:color w:val="000000" w:themeColor="text1"/>
        </w:rPr>
        <w:t>was submitted</w:t>
      </w:r>
      <w:r w:rsidRPr="00285FDE">
        <w:rPr>
          <w:color w:val="000000" w:themeColor="text1"/>
        </w:rPr>
        <w:t xml:space="preserve"> on </w:t>
      </w:r>
      <w:r>
        <w:rPr>
          <w:color w:val="000000" w:themeColor="text1"/>
        </w:rPr>
        <w:t>30 March 2022 with 43</w:t>
      </w:r>
      <w:r w:rsidRPr="00285FDE">
        <w:rPr>
          <w:color w:val="000000" w:themeColor="text1"/>
        </w:rPr>
        <w:t xml:space="preserve"> LGUs submitted. Subsequently, FO submitted an Assessment Report regarding the compliance of LGUs on </w:t>
      </w:r>
      <w:r>
        <w:rPr>
          <w:color w:val="000000" w:themeColor="text1"/>
        </w:rPr>
        <w:t>30 April 2022</w:t>
      </w:r>
      <w:r w:rsidRPr="00285FDE">
        <w:rPr>
          <w:color w:val="000000" w:themeColor="text1"/>
        </w:rPr>
        <w:t>.</w:t>
      </w:r>
    </w:p>
    <w:p w14:paraId="38DA0094" w14:textId="77777777" w:rsidR="00216377" w:rsidRPr="0036646D" w:rsidRDefault="00285FDE" w:rsidP="00516AD6">
      <w:pPr>
        <w:pStyle w:val="ListParagraph"/>
        <w:numPr>
          <w:ilvl w:val="0"/>
          <w:numId w:val="15"/>
        </w:numPr>
        <w:jc w:val="both"/>
        <w:rPr>
          <w:b/>
          <w:color w:val="000000" w:themeColor="text1"/>
        </w:rPr>
      </w:pPr>
      <w:r w:rsidRPr="00285FDE">
        <w:rPr>
          <w:color w:val="000000" w:themeColor="text1"/>
        </w:rPr>
        <w:t>Conducted the FY 1</w:t>
      </w:r>
      <w:r w:rsidRPr="00285FDE">
        <w:rPr>
          <w:color w:val="000000" w:themeColor="text1"/>
          <w:vertAlign w:val="superscript"/>
        </w:rPr>
        <w:t>st</w:t>
      </w:r>
      <w:r w:rsidRPr="00285FDE">
        <w:rPr>
          <w:color w:val="000000" w:themeColor="text1"/>
        </w:rPr>
        <w:t xml:space="preserve"> GAD and Sectoral TWG Meeting on 23-24 June 20222. Technical Staff from the PDPB acted as resource persons to orient the members on the updates on the guidelines, </w:t>
      </w:r>
      <w:r>
        <w:rPr>
          <w:color w:val="000000" w:themeColor="text1"/>
        </w:rPr>
        <w:t xml:space="preserve">and </w:t>
      </w:r>
      <w:r w:rsidRPr="00285FDE">
        <w:rPr>
          <w:color w:val="000000" w:themeColor="text1"/>
        </w:rPr>
        <w:t xml:space="preserve">reporting forms and shared the National Sectoral Agenda. </w:t>
      </w:r>
    </w:p>
    <w:p w14:paraId="1E54FFD1" w14:textId="77777777" w:rsidR="0036646D" w:rsidRPr="0036646D" w:rsidRDefault="0036646D" w:rsidP="00516AD6">
      <w:pPr>
        <w:pStyle w:val="ListParagraph"/>
        <w:numPr>
          <w:ilvl w:val="0"/>
          <w:numId w:val="15"/>
        </w:numPr>
        <w:jc w:val="both"/>
        <w:rPr>
          <w:b/>
          <w:color w:val="000000" w:themeColor="text1"/>
        </w:rPr>
      </w:pPr>
      <w:r>
        <w:rPr>
          <w:color w:val="000000" w:themeColor="text1"/>
        </w:rPr>
        <w:t>A total of three (3) guidelines were provided with inputs and comments, as follows</w:t>
      </w:r>
    </w:p>
    <w:p w14:paraId="3DE6A46E" w14:textId="77777777" w:rsidR="0036646D" w:rsidRDefault="0036646D" w:rsidP="00516AD6">
      <w:pPr>
        <w:pStyle w:val="ListParagraph"/>
        <w:numPr>
          <w:ilvl w:val="0"/>
          <w:numId w:val="16"/>
        </w:numPr>
        <w:jc w:val="both"/>
        <w:rPr>
          <w:color w:val="000000" w:themeColor="text1"/>
        </w:rPr>
      </w:pPr>
      <w:r w:rsidRPr="0036646D">
        <w:rPr>
          <w:color w:val="000000" w:themeColor="text1"/>
        </w:rPr>
        <w:t>Resolution on the Adoption of the Social Protection Operational Framework (SPOF)</w:t>
      </w:r>
    </w:p>
    <w:p w14:paraId="543EEFF1" w14:textId="77777777" w:rsidR="0036646D" w:rsidRDefault="0036646D" w:rsidP="00516AD6">
      <w:pPr>
        <w:pStyle w:val="ListParagraph"/>
        <w:numPr>
          <w:ilvl w:val="0"/>
          <w:numId w:val="16"/>
        </w:numPr>
        <w:jc w:val="both"/>
        <w:rPr>
          <w:color w:val="000000" w:themeColor="text1"/>
        </w:rPr>
      </w:pPr>
      <w:r>
        <w:rPr>
          <w:color w:val="000000" w:themeColor="text1"/>
        </w:rPr>
        <w:t>D</w:t>
      </w:r>
      <w:r w:rsidRPr="0036646D">
        <w:rPr>
          <w:color w:val="000000" w:themeColor="text1"/>
        </w:rPr>
        <w:t>raft Administrative Order Re: implementing Guidelines on the grant of the PBB for FY 2022</w:t>
      </w:r>
    </w:p>
    <w:p w14:paraId="0D87E48B" w14:textId="77777777" w:rsidR="0036646D" w:rsidRDefault="0036646D" w:rsidP="00516AD6">
      <w:pPr>
        <w:pStyle w:val="ListParagraph"/>
        <w:numPr>
          <w:ilvl w:val="0"/>
          <w:numId w:val="16"/>
        </w:numPr>
        <w:jc w:val="both"/>
        <w:rPr>
          <w:color w:val="000000" w:themeColor="text1"/>
        </w:rPr>
      </w:pPr>
      <w:r>
        <w:rPr>
          <w:color w:val="000000" w:themeColor="text1"/>
        </w:rPr>
        <w:t xml:space="preserve">Draft Administrative Order Re: </w:t>
      </w:r>
      <w:r w:rsidRPr="0036646D">
        <w:rPr>
          <w:color w:val="000000" w:themeColor="text1"/>
        </w:rPr>
        <w:t>FY 2023 Thrusts and Priorities</w:t>
      </w:r>
    </w:p>
    <w:p w14:paraId="315762DE" w14:textId="77777777" w:rsidR="0036646D" w:rsidRDefault="0036646D" w:rsidP="00516AD6">
      <w:pPr>
        <w:pStyle w:val="ListParagraph"/>
        <w:numPr>
          <w:ilvl w:val="0"/>
          <w:numId w:val="15"/>
        </w:numPr>
        <w:jc w:val="both"/>
        <w:rPr>
          <w:color w:val="000000" w:themeColor="text1"/>
        </w:rPr>
      </w:pPr>
      <w:r>
        <w:rPr>
          <w:color w:val="000000" w:themeColor="text1"/>
        </w:rPr>
        <w:t xml:space="preserve">On Performance Management, the PDPS as the OPC Secretariat submitted the following reports to the Performance Management Team, as follows: </w:t>
      </w:r>
    </w:p>
    <w:p w14:paraId="0078A53C" w14:textId="77777777" w:rsidR="0036646D" w:rsidRPr="0036646D" w:rsidRDefault="0036646D" w:rsidP="00516AD6">
      <w:pPr>
        <w:pStyle w:val="ListParagraph"/>
        <w:numPr>
          <w:ilvl w:val="1"/>
          <w:numId w:val="17"/>
        </w:numPr>
        <w:jc w:val="both"/>
        <w:rPr>
          <w:color w:val="000000" w:themeColor="text1"/>
        </w:rPr>
      </w:pPr>
      <w:r w:rsidRPr="0036646D">
        <w:rPr>
          <w:color w:val="000000" w:themeColor="text1"/>
        </w:rPr>
        <w:t xml:space="preserve">Memorandum Re: Approved FY 2022 Harmonized Field Office – Office </w:t>
      </w:r>
    </w:p>
    <w:p w14:paraId="2F67A652" w14:textId="77777777" w:rsidR="0036646D" w:rsidRPr="0036646D" w:rsidRDefault="0036646D" w:rsidP="00516AD6">
      <w:pPr>
        <w:pStyle w:val="ListParagraph"/>
        <w:numPr>
          <w:ilvl w:val="1"/>
          <w:numId w:val="17"/>
        </w:numPr>
        <w:jc w:val="both"/>
        <w:rPr>
          <w:color w:val="000000" w:themeColor="text1"/>
        </w:rPr>
      </w:pPr>
      <w:r w:rsidRPr="0036646D">
        <w:rPr>
          <w:color w:val="000000" w:themeColor="text1"/>
        </w:rPr>
        <w:t>Performance contract (OPC) indicators and Rating Guide</w:t>
      </w:r>
    </w:p>
    <w:p w14:paraId="3664621F" w14:textId="77777777" w:rsidR="0036646D" w:rsidRPr="0036646D" w:rsidRDefault="0036646D" w:rsidP="00516AD6">
      <w:pPr>
        <w:pStyle w:val="ListParagraph"/>
        <w:numPr>
          <w:ilvl w:val="1"/>
          <w:numId w:val="17"/>
        </w:numPr>
        <w:jc w:val="both"/>
        <w:rPr>
          <w:color w:val="000000" w:themeColor="text1"/>
        </w:rPr>
      </w:pPr>
      <w:r w:rsidRPr="0036646D">
        <w:rPr>
          <w:color w:val="000000" w:themeColor="text1"/>
        </w:rPr>
        <w:t>Draft Project Proposal In the conduct of RPMT Meeting</w:t>
      </w:r>
    </w:p>
    <w:p w14:paraId="4415056F" w14:textId="77777777" w:rsidR="0036646D" w:rsidRPr="0036646D" w:rsidRDefault="0036646D" w:rsidP="00516AD6">
      <w:pPr>
        <w:pStyle w:val="ListParagraph"/>
        <w:numPr>
          <w:ilvl w:val="1"/>
          <w:numId w:val="17"/>
        </w:numPr>
        <w:jc w:val="both"/>
        <w:rPr>
          <w:color w:val="000000" w:themeColor="text1"/>
        </w:rPr>
      </w:pPr>
      <w:r w:rsidRPr="0036646D">
        <w:rPr>
          <w:color w:val="000000" w:themeColor="text1"/>
        </w:rPr>
        <w:t>Call For Submission of FY 2022 2nd Semester Office Performance Contract (OPC) Checkpoint Form</w:t>
      </w:r>
    </w:p>
    <w:p w14:paraId="757E3E1A" w14:textId="77777777" w:rsidR="0036646D" w:rsidRDefault="0036646D" w:rsidP="00516AD6">
      <w:pPr>
        <w:pStyle w:val="ListParagraph"/>
        <w:numPr>
          <w:ilvl w:val="1"/>
          <w:numId w:val="17"/>
        </w:numPr>
        <w:jc w:val="both"/>
        <w:rPr>
          <w:color w:val="000000" w:themeColor="text1"/>
        </w:rPr>
      </w:pPr>
      <w:r w:rsidRPr="0036646D">
        <w:rPr>
          <w:color w:val="000000" w:themeColor="text1"/>
        </w:rPr>
        <w:t>Submission of FY 2022 1st Semester Office Performance Self Rating and Means of Verification</w:t>
      </w:r>
    </w:p>
    <w:p w14:paraId="7D10F32A" w14:textId="77777777" w:rsidR="00E84E1D" w:rsidRDefault="00E84E1D" w:rsidP="00E84E1D">
      <w:pPr>
        <w:pStyle w:val="ListParagraph"/>
        <w:ind w:left="1440"/>
        <w:jc w:val="both"/>
        <w:rPr>
          <w:color w:val="000000" w:themeColor="text1"/>
        </w:rPr>
      </w:pPr>
    </w:p>
    <w:p w14:paraId="07214FEE" w14:textId="77777777" w:rsidR="0036646D" w:rsidRPr="0036646D" w:rsidRDefault="0036646D" w:rsidP="0036646D">
      <w:pPr>
        <w:jc w:val="both"/>
        <w:rPr>
          <w:b/>
          <w:color w:val="000000" w:themeColor="text1"/>
        </w:rPr>
      </w:pPr>
      <w:r w:rsidRPr="0036646D">
        <w:rPr>
          <w:b/>
          <w:color w:val="000000" w:themeColor="text1"/>
        </w:rPr>
        <w:t>Social Technology</w:t>
      </w:r>
      <w:r w:rsidR="000A568F">
        <w:rPr>
          <w:b/>
          <w:color w:val="000000" w:themeColor="text1"/>
        </w:rPr>
        <w:t xml:space="preserve"> Development</w:t>
      </w:r>
    </w:p>
    <w:p w14:paraId="240400E7" w14:textId="77777777" w:rsidR="0036646D" w:rsidRDefault="0036646D" w:rsidP="0036646D">
      <w:pPr>
        <w:jc w:val="both"/>
        <w:rPr>
          <w:color w:val="000000" w:themeColor="text1"/>
        </w:rPr>
      </w:pPr>
    </w:p>
    <w:p w14:paraId="48A37489" w14:textId="4F2B4D90" w:rsidR="0036646D" w:rsidRPr="0036646D" w:rsidRDefault="0036646D" w:rsidP="0036646D">
      <w:pPr>
        <w:spacing w:line="240" w:lineRule="auto"/>
        <w:jc w:val="both"/>
        <w:rPr>
          <w:rFonts w:ascii="Times New Roman" w:eastAsia="Times New Roman" w:hAnsi="Times New Roman" w:cs="Times New Roman"/>
          <w:sz w:val="24"/>
          <w:szCs w:val="24"/>
          <w:lang w:val="en-PH" w:eastAsia="en-PH"/>
        </w:rPr>
      </w:pPr>
      <w:r>
        <w:rPr>
          <w:rFonts w:eastAsia="Times New Roman"/>
          <w:color w:val="000000"/>
          <w:lang w:val="en-PH" w:eastAsia="en-PH"/>
        </w:rPr>
        <w:t>The Social Technology Unit</w:t>
      </w:r>
      <w:r w:rsidRPr="0036646D">
        <w:rPr>
          <w:rFonts w:eastAsia="Times New Roman"/>
          <w:color w:val="000000"/>
          <w:lang w:val="en-PH" w:eastAsia="en-PH"/>
        </w:rPr>
        <w:t xml:space="preserve"> </w:t>
      </w:r>
      <w:r w:rsidR="000A568F">
        <w:rPr>
          <w:rFonts w:eastAsia="Times New Roman"/>
          <w:color w:val="000000"/>
          <w:lang w:val="en-PH" w:eastAsia="en-PH"/>
        </w:rPr>
        <w:t xml:space="preserve"> (STU) </w:t>
      </w:r>
      <w:r w:rsidR="00E84E1D">
        <w:rPr>
          <w:rFonts w:eastAsia="Times New Roman"/>
          <w:color w:val="000000"/>
          <w:lang w:val="en-PH" w:eastAsia="en-PH"/>
        </w:rPr>
        <w:t>is</w:t>
      </w:r>
      <w:r w:rsidRPr="0036646D">
        <w:rPr>
          <w:rFonts w:eastAsia="Times New Roman"/>
          <w:color w:val="000000"/>
          <w:lang w:val="en-PH" w:eastAsia="en-PH"/>
        </w:rPr>
        <w:t xml:space="preserve"> particularly tasked to advocate </w:t>
      </w:r>
      <w:r w:rsidR="00E84E1D">
        <w:rPr>
          <w:rFonts w:eastAsia="Times New Roman"/>
          <w:color w:val="000000"/>
          <w:lang w:val="en-PH" w:eastAsia="en-PH"/>
        </w:rPr>
        <w:t>t</w:t>
      </w:r>
      <w:r w:rsidRPr="0036646D">
        <w:rPr>
          <w:rFonts w:eastAsia="Times New Roman"/>
          <w:color w:val="000000"/>
          <w:lang w:val="en-PH" w:eastAsia="en-PH"/>
        </w:rPr>
        <w:t>he adoption, replication and implementation of completed social technologies by the Department’s intermediaries/partner implementers at the local level through the conduct of social marketing activities such as lobbying, conducting mass orientations, capacity building/training and/or one-on-one table discussions to LSWDOs/focal persons. This first semester, the unit has targeted five (5) completed social technologies to be replicated by intermediaries and 54 intermediaries to be reached through social marketing activities here in Region 2.</w:t>
      </w:r>
    </w:p>
    <w:p w14:paraId="41BA84B6" w14:textId="77777777" w:rsidR="0036646D" w:rsidRDefault="0036646D" w:rsidP="0036646D">
      <w:pPr>
        <w:jc w:val="both"/>
        <w:rPr>
          <w:b/>
          <w:color w:val="000000" w:themeColor="text1"/>
        </w:rPr>
      </w:pPr>
    </w:p>
    <w:p w14:paraId="2B8204E6" w14:textId="2892BFE4" w:rsidR="000A568F" w:rsidRDefault="000A568F" w:rsidP="0036646D">
      <w:pPr>
        <w:jc w:val="both"/>
        <w:rPr>
          <w:b/>
          <w:color w:val="000000" w:themeColor="text1"/>
        </w:rPr>
      </w:pPr>
      <w:r>
        <w:rPr>
          <w:b/>
          <w:color w:val="000000" w:themeColor="text1"/>
        </w:rPr>
        <w:t xml:space="preserve">Social Technology </w:t>
      </w:r>
      <w:r w:rsidR="00E84E1D">
        <w:rPr>
          <w:b/>
          <w:color w:val="000000" w:themeColor="text1"/>
        </w:rPr>
        <w:t>p</w:t>
      </w:r>
      <w:r>
        <w:rPr>
          <w:b/>
          <w:color w:val="000000" w:themeColor="text1"/>
        </w:rPr>
        <w:t xml:space="preserve">rojects monitored and implemented for this semester are as follows: </w:t>
      </w:r>
    </w:p>
    <w:p w14:paraId="3602A9AC" w14:textId="77777777" w:rsidR="000A568F" w:rsidRDefault="000A568F" w:rsidP="000A568F">
      <w:pPr>
        <w:jc w:val="both"/>
        <w:rPr>
          <w:color w:val="000000" w:themeColor="text1"/>
        </w:rPr>
      </w:pPr>
      <w:r>
        <w:rPr>
          <w:color w:val="000000" w:themeColor="text1"/>
        </w:rPr>
        <w:t xml:space="preserve">1. </w:t>
      </w:r>
      <w:r w:rsidR="0008788E" w:rsidRPr="000A568F">
        <w:rPr>
          <w:color w:val="000000" w:themeColor="text1"/>
        </w:rPr>
        <w:t xml:space="preserve">Community Action and Resources for Accessible and Better Living Environment (CAREABLE) </w:t>
      </w:r>
      <w:r>
        <w:rPr>
          <w:color w:val="000000" w:themeColor="text1"/>
        </w:rPr>
        <w:t xml:space="preserve">with </w:t>
      </w:r>
      <w:r w:rsidR="0008788E" w:rsidRPr="000A568F">
        <w:rPr>
          <w:color w:val="000000" w:themeColor="text1"/>
        </w:rPr>
        <w:t xml:space="preserve">19 </w:t>
      </w:r>
      <w:r>
        <w:rPr>
          <w:color w:val="000000" w:themeColor="text1"/>
        </w:rPr>
        <w:t>LGUs</w:t>
      </w:r>
      <w:r w:rsidR="0008788E" w:rsidRPr="000A568F">
        <w:rPr>
          <w:color w:val="000000" w:themeColor="text1"/>
        </w:rPr>
        <w:t xml:space="preserve"> that signified interest through </w:t>
      </w:r>
      <w:r>
        <w:rPr>
          <w:color w:val="000000" w:themeColor="text1"/>
        </w:rPr>
        <w:t>Expression of Interest</w:t>
      </w:r>
      <w:r w:rsidR="0008788E" w:rsidRPr="000A568F">
        <w:rPr>
          <w:color w:val="000000" w:themeColor="text1"/>
        </w:rPr>
        <w:t xml:space="preserve">. </w:t>
      </w:r>
    </w:p>
    <w:p w14:paraId="1F33F537" w14:textId="77777777" w:rsidR="000A568F" w:rsidRDefault="000A568F" w:rsidP="000A568F">
      <w:pPr>
        <w:jc w:val="both"/>
        <w:rPr>
          <w:color w:val="000000" w:themeColor="text1"/>
        </w:rPr>
      </w:pPr>
      <w:r>
        <w:rPr>
          <w:color w:val="000000" w:themeColor="text1"/>
        </w:rPr>
        <w:t xml:space="preserve">2. </w:t>
      </w:r>
      <w:r w:rsidR="0008788E" w:rsidRPr="000A568F">
        <w:rPr>
          <w:color w:val="000000" w:themeColor="text1"/>
        </w:rPr>
        <w:t xml:space="preserve">Reporting System and Prevention Program for Elder Abuse Cases (ReSPPEC) </w:t>
      </w:r>
      <w:r>
        <w:rPr>
          <w:color w:val="000000" w:themeColor="text1"/>
        </w:rPr>
        <w:t>with</w:t>
      </w:r>
      <w:r w:rsidR="0008788E" w:rsidRPr="000A568F">
        <w:rPr>
          <w:color w:val="000000" w:themeColor="text1"/>
        </w:rPr>
        <w:t xml:space="preserve"> 11 LGUs that signified interest to replicate said program through </w:t>
      </w:r>
      <w:r>
        <w:rPr>
          <w:color w:val="000000" w:themeColor="text1"/>
        </w:rPr>
        <w:t>Expression of Interest</w:t>
      </w:r>
      <w:r w:rsidR="0008788E" w:rsidRPr="000A568F">
        <w:rPr>
          <w:color w:val="000000" w:themeColor="text1"/>
        </w:rPr>
        <w:t>.</w:t>
      </w:r>
    </w:p>
    <w:p w14:paraId="27530EA2" w14:textId="77777777" w:rsidR="000A568F" w:rsidRDefault="000A568F" w:rsidP="000A568F">
      <w:pPr>
        <w:jc w:val="both"/>
        <w:rPr>
          <w:color w:val="000000" w:themeColor="text1"/>
        </w:rPr>
      </w:pPr>
      <w:r>
        <w:rPr>
          <w:color w:val="000000" w:themeColor="text1"/>
        </w:rPr>
        <w:t xml:space="preserve">3. </w:t>
      </w:r>
      <w:r w:rsidR="0008788E" w:rsidRPr="000A568F">
        <w:rPr>
          <w:color w:val="000000" w:themeColor="text1"/>
        </w:rPr>
        <w:t xml:space="preserve">Yakap Bayan Program (YBP) for Recovering Persons Who Used Drugs (RPWUDs) </w:t>
      </w:r>
      <w:r>
        <w:rPr>
          <w:color w:val="000000" w:themeColor="text1"/>
        </w:rPr>
        <w:t>with</w:t>
      </w:r>
      <w:r w:rsidR="0008788E" w:rsidRPr="000A568F">
        <w:rPr>
          <w:color w:val="000000" w:themeColor="text1"/>
        </w:rPr>
        <w:t xml:space="preserve"> 10 LGUs that signified interest to replicate said program through </w:t>
      </w:r>
      <w:r>
        <w:rPr>
          <w:color w:val="000000" w:themeColor="text1"/>
        </w:rPr>
        <w:t>Expression of Interest</w:t>
      </w:r>
      <w:r w:rsidR="0008788E" w:rsidRPr="000A568F">
        <w:rPr>
          <w:color w:val="000000" w:themeColor="text1"/>
        </w:rPr>
        <w:t>.</w:t>
      </w:r>
    </w:p>
    <w:p w14:paraId="3865138D" w14:textId="77777777" w:rsidR="000A568F" w:rsidRPr="000A568F" w:rsidRDefault="000A568F" w:rsidP="000A568F">
      <w:pPr>
        <w:jc w:val="both"/>
        <w:rPr>
          <w:color w:val="000000" w:themeColor="text1"/>
        </w:rPr>
      </w:pPr>
      <w:r>
        <w:rPr>
          <w:color w:val="000000" w:themeColor="text1"/>
        </w:rPr>
        <w:t xml:space="preserve">4. </w:t>
      </w:r>
      <w:r w:rsidRPr="000A568F">
        <w:rPr>
          <w:color w:val="000000" w:themeColor="text1"/>
        </w:rPr>
        <w:t>Counseling Services for the Rehabilitation of Perpetrators of Domestic Violence (CSRPDV)</w:t>
      </w:r>
    </w:p>
    <w:p w14:paraId="18ABD2A1" w14:textId="77777777" w:rsidR="000A568F" w:rsidRDefault="000A568F" w:rsidP="000A568F">
      <w:pPr>
        <w:jc w:val="both"/>
        <w:rPr>
          <w:color w:val="000000" w:themeColor="text1"/>
        </w:rPr>
      </w:pPr>
      <w:r>
        <w:rPr>
          <w:color w:val="000000" w:themeColor="text1"/>
        </w:rPr>
        <w:t xml:space="preserve">with </w:t>
      </w:r>
      <w:r w:rsidRPr="000A568F">
        <w:rPr>
          <w:color w:val="000000" w:themeColor="text1"/>
        </w:rPr>
        <w:t xml:space="preserve">19 LGUs which signified interest to replicate said program through </w:t>
      </w:r>
      <w:r>
        <w:rPr>
          <w:color w:val="000000" w:themeColor="text1"/>
        </w:rPr>
        <w:t>Expression of Interest</w:t>
      </w:r>
      <w:r w:rsidRPr="000A568F">
        <w:rPr>
          <w:color w:val="000000" w:themeColor="text1"/>
        </w:rPr>
        <w:t>.</w:t>
      </w:r>
    </w:p>
    <w:p w14:paraId="12BC2C21" w14:textId="77777777" w:rsidR="000A568F" w:rsidRDefault="000A568F" w:rsidP="000A568F">
      <w:pPr>
        <w:jc w:val="both"/>
        <w:rPr>
          <w:color w:val="000000" w:themeColor="text1"/>
        </w:rPr>
      </w:pPr>
      <w:r>
        <w:rPr>
          <w:color w:val="000000" w:themeColor="text1"/>
        </w:rPr>
        <w:t xml:space="preserve">5. </w:t>
      </w:r>
      <w:r w:rsidRPr="000A568F">
        <w:rPr>
          <w:color w:val="000000" w:themeColor="text1"/>
        </w:rPr>
        <w:t>Strategic Helpdesk, Information, Education, Livelihood, and Developmental Interventions (SHIELD)</w:t>
      </w:r>
      <w:r>
        <w:rPr>
          <w:color w:val="000000" w:themeColor="text1"/>
        </w:rPr>
        <w:t xml:space="preserve"> with </w:t>
      </w:r>
      <w:r w:rsidRPr="000A568F">
        <w:rPr>
          <w:color w:val="000000" w:themeColor="text1"/>
        </w:rPr>
        <w:t>eight (8) LGUs which signified interest to repl</w:t>
      </w:r>
      <w:r>
        <w:rPr>
          <w:color w:val="000000" w:themeColor="text1"/>
        </w:rPr>
        <w:t>icate said program through Expression of Interest</w:t>
      </w:r>
    </w:p>
    <w:p w14:paraId="57F5A5F5" w14:textId="77777777" w:rsidR="000A568F" w:rsidRPr="000A568F" w:rsidRDefault="000A568F" w:rsidP="000A568F">
      <w:pPr>
        <w:jc w:val="both"/>
        <w:rPr>
          <w:color w:val="000000" w:themeColor="text1"/>
        </w:rPr>
      </w:pPr>
    </w:p>
    <w:p w14:paraId="05EC9C26" w14:textId="77777777" w:rsidR="000A568F" w:rsidRDefault="000A568F" w:rsidP="000A568F">
      <w:pPr>
        <w:jc w:val="both"/>
        <w:rPr>
          <w:color w:val="000000" w:themeColor="text1"/>
        </w:rPr>
      </w:pPr>
      <w:r w:rsidRPr="000A568F">
        <w:rPr>
          <w:color w:val="000000" w:themeColor="text1"/>
        </w:rPr>
        <w:t xml:space="preserve">For this semester, the STU reached a total of 37 LGUs/intermediaries in its social marketing activities for the promotion and/or institutionalization of completed social technologies which is equivalent to 68.51% of its target for the year. Since, the STU is also part of the International </w:t>
      </w:r>
      <w:r w:rsidRPr="000A568F">
        <w:rPr>
          <w:color w:val="000000" w:themeColor="text1"/>
        </w:rPr>
        <w:lastRenderedPageBreak/>
        <w:t>Organization for Standardization process, the STU staff included the cascaded SOP during the Orientation regarding the provision of Technical Assistance. The request form of the said SOP was already shared with the LGUs and also distributed the STB briefers of the CSTs and YBP booklet.</w:t>
      </w:r>
    </w:p>
    <w:p w14:paraId="612EFFBF" w14:textId="77777777" w:rsidR="000A568F" w:rsidRPr="000A568F" w:rsidRDefault="000A568F" w:rsidP="000A568F">
      <w:pPr>
        <w:jc w:val="both"/>
        <w:rPr>
          <w:color w:val="000000" w:themeColor="text1"/>
        </w:rPr>
      </w:pPr>
    </w:p>
    <w:p w14:paraId="63162717" w14:textId="77777777" w:rsidR="0036646D" w:rsidRPr="000F000A" w:rsidRDefault="000F000A" w:rsidP="0036646D">
      <w:pPr>
        <w:jc w:val="both"/>
        <w:rPr>
          <w:b/>
          <w:color w:val="000000" w:themeColor="text1"/>
        </w:rPr>
      </w:pPr>
      <w:r w:rsidRPr="000F000A">
        <w:rPr>
          <w:b/>
          <w:color w:val="000000" w:themeColor="text1"/>
        </w:rPr>
        <w:t>National Household Targeting System for Poverty Reduction</w:t>
      </w:r>
    </w:p>
    <w:p w14:paraId="63E67BFD" w14:textId="77777777" w:rsidR="0036646D" w:rsidRPr="0036646D" w:rsidRDefault="0036646D" w:rsidP="0036646D">
      <w:pPr>
        <w:jc w:val="both"/>
        <w:rPr>
          <w:color w:val="000000" w:themeColor="text1"/>
        </w:rPr>
      </w:pPr>
    </w:p>
    <w:p w14:paraId="1C2F8290" w14:textId="77777777" w:rsidR="000F000A" w:rsidRPr="006A53F7" w:rsidRDefault="000F000A" w:rsidP="000F000A">
      <w:pPr>
        <w:shd w:val="clear" w:color="auto" w:fill="FFFFFF"/>
        <w:spacing w:line="240" w:lineRule="auto"/>
        <w:jc w:val="both"/>
      </w:pPr>
      <w:r w:rsidRPr="006A53F7">
        <w:t xml:space="preserve">The National Household Targeting System for Poverty Reduction (NHTS-PR) or </w:t>
      </w:r>
      <w:r w:rsidRPr="006A53F7">
        <w:rPr>
          <w:i/>
        </w:rPr>
        <w:t>Listahanan</w:t>
      </w:r>
      <w:r w:rsidRPr="006A53F7">
        <w:t xml:space="preserve"> is a national government project being implemented by the Department of Social Welfare and Development (DSWD). It is an information management system that aims to establish a database of poor households who will become potential beneficiaries of social protection programs of the government and other social protection stakeholders.</w:t>
      </w:r>
    </w:p>
    <w:p w14:paraId="65B08622" w14:textId="77777777" w:rsidR="000B6857" w:rsidRPr="006A53F7" w:rsidRDefault="000B6857" w:rsidP="000B6857">
      <w:pPr>
        <w:shd w:val="clear" w:color="auto" w:fill="FFFFFF"/>
        <w:spacing w:line="240" w:lineRule="auto"/>
        <w:jc w:val="both"/>
      </w:pPr>
    </w:p>
    <w:p w14:paraId="4016AC8E" w14:textId="77777777" w:rsidR="000B6857" w:rsidRPr="006A53F7" w:rsidRDefault="000B6857" w:rsidP="000B6857">
      <w:pPr>
        <w:shd w:val="clear" w:color="auto" w:fill="FFFFFF"/>
        <w:spacing w:line="240" w:lineRule="auto"/>
        <w:jc w:val="both"/>
      </w:pPr>
      <w:r w:rsidRPr="006A53F7">
        <w:t>NHTS-PR assisted in the assessment of Pantawid beneficiaries who were not found in the Listahanan 3 database. The NHTS team trained Pantawid staff, reviewed, encoded, and verified assessed household assessment forms (HAFs), and matched names of assessed and unassessed Pantawid beneficiaries. Furthermore, the NHTS conducted Pantawid staff orientation to ensure that they understand their roles and responsibilities in conducting the special validation for Pantawid Beneficiaries who were not found in the Listahanan 3 database. On April 4-5, 2022, 21 Pantawid employees attended the face-to-face orientation, and 83 Pantawid employees attended the virtual orientation on May 2 and 4, 2022.</w:t>
      </w:r>
    </w:p>
    <w:p w14:paraId="40E69422" w14:textId="77777777" w:rsidR="000F000A" w:rsidRPr="006A53F7" w:rsidRDefault="000B6857" w:rsidP="000B6857">
      <w:pPr>
        <w:shd w:val="clear" w:color="auto" w:fill="FFFFFF"/>
        <w:spacing w:line="240" w:lineRule="auto"/>
        <w:jc w:val="both"/>
      </w:pPr>
      <w:r w:rsidRPr="006A53F7">
        <w:t>The NHTS-PR also conducted validation and cash card distributions for the Unconditional Cash Transfer Program for Social Pension, name matched request from other programs in the department and attended to queries from walk-in clients of the Unconditional Cash Transfer (UCT) Program.</w:t>
      </w:r>
    </w:p>
    <w:p w14:paraId="68CDC04E" w14:textId="77777777" w:rsidR="000B6857" w:rsidRPr="006A53F7" w:rsidRDefault="000B6857" w:rsidP="000B6857">
      <w:pPr>
        <w:shd w:val="clear" w:color="auto" w:fill="FFFFFF"/>
        <w:spacing w:line="240" w:lineRule="auto"/>
        <w:jc w:val="both"/>
      </w:pPr>
    </w:p>
    <w:p w14:paraId="38575604" w14:textId="77777777" w:rsidR="000B6857" w:rsidRPr="006A53F7" w:rsidRDefault="000B6857" w:rsidP="000B6857">
      <w:pPr>
        <w:shd w:val="clear" w:color="auto" w:fill="FFFFFF"/>
        <w:spacing w:line="240" w:lineRule="auto"/>
        <w:jc w:val="both"/>
      </w:pPr>
      <w:r w:rsidRPr="006A53F7">
        <w:t>Conducted review, encoding and verification of HAFs assessed during the special validation of unassessed Pantawid beneficiaries. For the assessed Modified Conditional Cash Transfer program beneficiaries, 100% (223 HAFs) were reviewed, encoded and verified on May 31, 2022. The encoding and verification of the Regular Conditional Cash Transfer program was stopped and will resume when given further notice from Pantawid National Project Management Office.</w:t>
      </w:r>
    </w:p>
    <w:p w14:paraId="098B9D97" w14:textId="77777777" w:rsidR="000B6857" w:rsidRPr="006A53F7" w:rsidRDefault="000B6857" w:rsidP="000B6857">
      <w:pPr>
        <w:shd w:val="clear" w:color="auto" w:fill="FFFFFF"/>
        <w:spacing w:line="240" w:lineRule="auto"/>
        <w:jc w:val="both"/>
      </w:pPr>
    </w:p>
    <w:p w14:paraId="4C295DEE" w14:textId="77777777" w:rsidR="000B6857" w:rsidRPr="006A53F7" w:rsidRDefault="000B6857" w:rsidP="006A53F7">
      <w:pPr>
        <w:jc w:val="both"/>
        <w:rPr>
          <w:rFonts w:eastAsiaTheme="minorEastAsia"/>
          <w:lang w:eastAsia="en-PH"/>
        </w:rPr>
      </w:pPr>
      <w:r w:rsidRPr="006A53F7">
        <w:rPr>
          <w:rFonts w:eastAsiaTheme="minorEastAsia"/>
          <w:lang w:eastAsia="en-PH"/>
        </w:rPr>
        <w:t>On the UCT Validation and Cash Card Distribution, a total of 23, beneficiaries were validated and 3,844 cash cards were distributed.</w:t>
      </w:r>
      <w:r w:rsidR="006A53F7">
        <w:rPr>
          <w:rFonts w:eastAsiaTheme="minorEastAsia"/>
          <w:lang w:eastAsia="en-PH"/>
        </w:rPr>
        <w:t xml:space="preserve">    </w:t>
      </w:r>
    </w:p>
    <w:p w14:paraId="6A055684" w14:textId="77777777" w:rsidR="000B6857" w:rsidRPr="000B6857" w:rsidRDefault="000B6857" w:rsidP="000B6857">
      <w:pPr>
        <w:spacing w:before="240" w:after="240"/>
        <w:jc w:val="both"/>
        <w:rPr>
          <w:b/>
          <w:color w:val="000000"/>
        </w:rPr>
      </w:pPr>
      <w:r w:rsidRPr="000B6857">
        <w:rPr>
          <w:b/>
          <w:color w:val="000000"/>
        </w:rPr>
        <w:t>Information and Communications Technology Management</w:t>
      </w:r>
    </w:p>
    <w:p w14:paraId="69D4E4BC" w14:textId="77777777" w:rsidR="000B6857" w:rsidRPr="000B6857" w:rsidRDefault="000B6857" w:rsidP="000B6857">
      <w:pPr>
        <w:spacing w:before="240" w:after="240"/>
        <w:jc w:val="both"/>
        <w:rPr>
          <w:color w:val="000000"/>
        </w:rPr>
      </w:pPr>
      <w:r w:rsidRPr="000B6857">
        <w:rPr>
          <w:color w:val="000000"/>
        </w:rPr>
        <w:t>The Regional Information and Communications Technology Management Section (RICTMS) serves as support to the different programs and projects of the Department through the utilization of ICT services and infrastructure. Technical Assistance is regularly provided to the different units or sections in terms of troubleshooting computer hardware and software issues, local area network, internet and virtual private network (IPVPN) including IP-PBX. The ICT infrastructure including information systems are also being managed by the section.</w:t>
      </w:r>
    </w:p>
    <w:p w14:paraId="2757F7E2" w14:textId="77777777" w:rsidR="000B6857" w:rsidRPr="006A53F7" w:rsidRDefault="000B6857" w:rsidP="006A53F7">
      <w:pPr>
        <w:spacing w:after="160" w:line="240" w:lineRule="auto"/>
        <w:jc w:val="both"/>
        <w:rPr>
          <w:rFonts w:ascii="Times New Roman" w:eastAsia="Times New Roman" w:hAnsi="Times New Roman" w:cs="Times New Roman"/>
          <w:lang w:val="en-PH" w:eastAsia="en-PH"/>
        </w:rPr>
      </w:pPr>
      <w:r w:rsidRPr="006A53F7">
        <w:rPr>
          <w:rFonts w:eastAsia="Times New Roman"/>
          <w:b/>
          <w:bCs/>
          <w:i/>
          <w:iCs/>
          <w:color w:val="000000"/>
          <w:u w:val="single"/>
          <w:lang w:val="en-PH" w:eastAsia="en-PH"/>
        </w:rPr>
        <w:t>ICT SERVICE SUPPORT</w:t>
      </w:r>
    </w:p>
    <w:p w14:paraId="74CD6F0B" w14:textId="77777777" w:rsidR="000B6857" w:rsidRPr="006A53F7" w:rsidRDefault="000B6857" w:rsidP="00516AD6">
      <w:pPr>
        <w:numPr>
          <w:ilvl w:val="0"/>
          <w:numId w:val="18"/>
        </w:numPr>
        <w:spacing w:after="160" w:line="240" w:lineRule="auto"/>
        <w:ind w:left="1080"/>
        <w:jc w:val="both"/>
        <w:textAlignment w:val="baseline"/>
        <w:rPr>
          <w:rFonts w:eastAsia="Times New Roman"/>
          <w:color w:val="000000"/>
          <w:lang w:val="en-PH" w:eastAsia="en-PH"/>
        </w:rPr>
      </w:pPr>
      <w:r w:rsidRPr="006A53F7">
        <w:rPr>
          <w:rFonts w:eastAsia="Times New Roman"/>
          <w:color w:val="000000"/>
          <w:lang w:val="en-PH" w:eastAsia="en-PH"/>
        </w:rPr>
        <w:t>Five (5) RICTMS staff who were members of the Inventory Team assisted in the conduct of physical count of PPEs in the regional office, centers, SWAD offices, POOs and MOOs. They also pulled out ICT Equipment for turnover and completed the inspection works for this equipment to identify those that are for disposal, for upgrading or for repair.</w:t>
      </w:r>
    </w:p>
    <w:p w14:paraId="0829DFF4" w14:textId="77777777" w:rsidR="000B6857" w:rsidRPr="006A53F7" w:rsidRDefault="000B6857" w:rsidP="00516AD6">
      <w:pPr>
        <w:numPr>
          <w:ilvl w:val="0"/>
          <w:numId w:val="18"/>
        </w:numPr>
        <w:spacing w:after="160" w:line="240" w:lineRule="auto"/>
        <w:ind w:left="1080"/>
        <w:jc w:val="both"/>
        <w:textAlignment w:val="baseline"/>
        <w:rPr>
          <w:rFonts w:eastAsia="Times New Roman"/>
          <w:color w:val="000000"/>
          <w:lang w:val="en-PH" w:eastAsia="en-PH"/>
        </w:rPr>
      </w:pPr>
      <w:r w:rsidRPr="006A53F7">
        <w:rPr>
          <w:rFonts w:eastAsia="Times New Roman"/>
          <w:color w:val="000000"/>
          <w:lang w:val="en-PH" w:eastAsia="en-PH"/>
        </w:rPr>
        <w:t>Facilitated the creation of 32 email accounts for DSWD FO 2 staff in coordination with the CO-ICTMS</w:t>
      </w:r>
    </w:p>
    <w:p w14:paraId="498136EE" w14:textId="77777777" w:rsidR="000B6857" w:rsidRPr="006A53F7" w:rsidRDefault="000B6857" w:rsidP="00516AD6">
      <w:pPr>
        <w:numPr>
          <w:ilvl w:val="0"/>
          <w:numId w:val="18"/>
        </w:numPr>
        <w:spacing w:after="160" w:line="240" w:lineRule="auto"/>
        <w:ind w:left="1080"/>
        <w:jc w:val="both"/>
        <w:textAlignment w:val="baseline"/>
        <w:rPr>
          <w:rFonts w:eastAsia="Times New Roman"/>
          <w:color w:val="000000"/>
          <w:lang w:val="en-PH" w:eastAsia="en-PH"/>
        </w:rPr>
      </w:pPr>
      <w:r w:rsidRPr="006A53F7">
        <w:rPr>
          <w:rFonts w:eastAsia="Times New Roman"/>
          <w:color w:val="000000"/>
          <w:lang w:val="en-PH" w:eastAsia="en-PH"/>
        </w:rPr>
        <w:lastRenderedPageBreak/>
        <w:t>Technical Inspection of ICT equipment and reconfiguration of turned over equipment that can be re-issued were also facilitated by RICTMS this quarter. RICTMS was able to configure 50 new laptops and 12 new desktops from CO-ICTMS. The configuration also included installation of needed Office Productivity Software and other Information Systems. The distribution list was prepared in coordination with Property Section based on the inventory conducted.</w:t>
      </w:r>
    </w:p>
    <w:p w14:paraId="7D253780" w14:textId="77777777" w:rsidR="000B6857" w:rsidRPr="006A53F7" w:rsidRDefault="000B6857" w:rsidP="00516AD6">
      <w:pPr>
        <w:numPr>
          <w:ilvl w:val="0"/>
          <w:numId w:val="18"/>
        </w:numPr>
        <w:spacing w:after="160" w:line="240" w:lineRule="auto"/>
        <w:ind w:left="1080"/>
        <w:jc w:val="both"/>
        <w:textAlignment w:val="baseline"/>
        <w:rPr>
          <w:rFonts w:eastAsia="Times New Roman"/>
          <w:color w:val="000000"/>
          <w:lang w:val="en-PH" w:eastAsia="en-PH"/>
        </w:rPr>
      </w:pPr>
      <w:r w:rsidRPr="006A53F7">
        <w:rPr>
          <w:rFonts w:eastAsia="Times New Roman"/>
          <w:color w:val="000000"/>
          <w:lang w:val="en-PH" w:eastAsia="en-PH"/>
        </w:rPr>
        <w:t xml:space="preserve">During the second quarter of 2022, RICTMS was able to immediately address 663 requests based on the generated report using the ICT Help Desk. Based on the figure below, 137 (21%) fall under incident request while 526 (79%) fall under the service request category. </w:t>
      </w:r>
    </w:p>
    <w:p w14:paraId="17CF310C" w14:textId="77777777" w:rsidR="000B6857" w:rsidRDefault="000B6857" w:rsidP="000B6857">
      <w:pPr>
        <w:spacing w:line="240" w:lineRule="auto"/>
        <w:rPr>
          <w:rFonts w:eastAsia="Times New Roman"/>
          <w:color w:val="000000"/>
          <w:lang w:val="en-PH" w:eastAsia="en-PH"/>
        </w:rPr>
      </w:pPr>
      <w:r w:rsidRPr="006A53F7">
        <w:rPr>
          <w:rFonts w:eastAsia="Times New Roman"/>
          <w:color w:val="000000"/>
          <w:lang w:val="en-PH" w:eastAsia="en-PH"/>
        </w:rPr>
        <w:t>As per report generated from the ICT Ticketing Support System, following were the most incident-related requests:</w:t>
      </w:r>
    </w:p>
    <w:p w14:paraId="26AC7836" w14:textId="77777777" w:rsidR="00E84E1D" w:rsidRPr="006A53F7" w:rsidRDefault="00E84E1D" w:rsidP="000B6857">
      <w:pPr>
        <w:spacing w:line="240" w:lineRule="auto"/>
        <w:rPr>
          <w:rFonts w:ascii="Times New Roman" w:eastAsia="Times New Roman" w:hAnsi="Times New Roman" w:cs="Times New Roman"/>
          <w:lang w:val="en-PH" w:eastAsia="en-PH"/>
        </w:rPr>
      </w:pPr>
    </w:p>
    <w:p w14:paraId="02996378" w14:textId="77777777" w:rsidR="000B6857" w:rsidRDefault="000B6857" w:rsidP="00516AD6">
      <w:pPr>
        <w:numPr>
          <w:ilvl w:val="0"/>
          <w:numId w:val="19"/>
        </w:numPr>
        <w:spacing w:line="240" w:lineRule="auto"/>
        <w:ind w:left="1440"/>
        <w:jc w:val="both"/>
        <w:textAlignment w:val="baseline"/>
        <w:rPr>
          <w:rFonts w:eastAsia="Times New Roman"/>
          <w:color w:val="000000"/>
          <w:lang w:val="en-PH" w:eastAsia="en-PH"/>
        </w:rPr>
      </w:pPr>
      <w:r w:rsidRPr="006A53F7">
        <w:rPr>
          <w:rFonts w:eastAsia="Times New Roman"/>
          <w:color w:val="000000"/>
          <w:lang w:val="en-PH" w:eastAsia="en-PH"/>
        </w:rPr>
        <w:t>57 or 41.61% of the 137 requests are network related. These network-related concerns include no network connectivity resulting to unavailability of Internet Access and access to other network services. The issue was caused by the DHCP Server which was reported immediately to Central Office-ICTMS and was reconfigured but recurred hence CO-ICTMS advised the Network Administrator to provision a new DHCP Server and should be set outside the DMZ. This has resolved the problem that was encountered three times during the quarter.</w:t>
      </w:r>
    </w:p>
    <w:p w14:paraId="20D857C9" w14:textId="77777777" w:rsidR="00E84E1D" w:rsidRPr="006A53F7" w:rsidRDefault="00E84E1D" w:rsidP="00E84E1D">
      <w:pPr>
        <w:spacing w:line="240" w:lineRule="auto"/>
        <w:ind w:left="1440"/>
        <w:jc w:val="both"/>
        <w:textAlignment w:val="baseline"/>
        <w:rPr>
          <w:rFonts w:eastAsia="Times New Roman"/>
          <w:color w:val="000000"/>
          <w:lang w:val="en-PH" w:eastAsia="en-PH"/>
        </w:rPr>
      </w:pPr>
    </w:p>
    <w:p w14:paraId="5189985B" w14:textId="77777777" w:rsidR="000B6857" w:rsidRPr="006A53F7" w:rsidRDefault="000B6857" w:rsidP="00516AD6">
      <w:pPr>
        <w:numPr>
          <w:ilvl w:val="0"/>
          <w:numId w:val="19"/>
        </w:numPr>
        <w:spacing w:after="200" w:line="240" w:lineRule="auto"/>
        <w:ind w:left="1440"/>
        <w:jc w:val="both"/>
        <w:textAlignment w:val="baseline"/>
        <w:rPr>
          <w:rFonts w:eastAsia="Times New Roman"/>
          <w:color w:val="000000"/>
          <w:lang w:val="en-PH" w:eastAsia="en-PH"/>
        </w:rPr>
      </w:pPr>
      <w:r w:rsidRPr="006A53F7">
        <w:rPr>
          <w:rFonts w:eastAsia="Times New Roman"/>
          <w:color w:val="000000"/>
          <w:lang w:val="en-PH" w:eastAsia="en-PH"/>
        </w:rPr>
        <w:t>The second incident requests are hardware-related. Most of the hardware-related requests are still printer related. As observed by the section, printer concerns for the second quarter were mostly due to paper jam issues, printer waste inkpad reset and other errors related mechanical problems. As per observation also, some of the printers that were repaired were already aging hence causing failure or malfunctioning, some errors were due to bulk of printing that causes inkpad problems because of the high demand of printing needed by some of the sections and some errors were caused by end-users’ carelessness. The section however continuously provides the end-user with reminders on some of the do’s and dont’s on printer usage and maintenance to at least help them minimize the issues related to printers. A purchase request was also in process for the purchase of 50 new printers to be distributed to various offices. A more durable printer was also recommended for use at the Social Pension Program due to the volume of their printing requirement.</w:t>
      </w:r>
    </w:p>
    <w:p w14:paraId="26A6C9E2" w14:textId="77777777" w:rsidR="000B6857" w:rsidRPr="006A53F7" w:rsidRDefault="000B6857" w:rsidP="000B6857">
      <w:pPr>
        <w:spacing w:line="240" w:lineRule="auto"/>
        <w:ind w:firstLine="720"/>
        <w:jc w:val="both"/>
        <w:rPr>
          <w:rFonts w:ascii="Times New Roman" w:eastAsia="Times New Roman" w:hAnsi="Times New Roman" w:cs="Times New Roman"/>
          <w:lang w:val="en-PH" w:eastAsia="en-PH"/>
        </w:rPr>
      </w:pPr>
      <w:r w:rsidRPr="006A53F7">
        <w:rPr>
          <w:rFonts w:eastAsia="Times New Roman"/>
          <w:b/>
          <w:bCs/>
          <w:i/>
          <w:iCs/>
          <w:color w:val="000000"/>
          <w:u w:val="single"/>
          <w:lang w:val="en-PH" w:eastAsia="en-PH"/>
        </w:rPr>
        <w:t>APPLICATION AND DATA MANAGEMENT</w:t>
      </w:r>
    </w:p>
    <w:p w14:paraId="679BA004" w14:textId="77777777" w:rsidR="000B6857" w:rsidRPr="006A53F7" w:rsidRDefault="000B6857" w:rsidP="000B6857">
      <w:pPr>
        <w:spacing w:line="240" w:lineRule="auto"/>
        <w:rPr>
          <w:rFonts w:ascii="Times New Roman" w:eastAsia="Times New Roman" w:hAnsi="Times New Roman" w:cs="Times New Roman"/>
          <w:lang w:val="en-PH" w:eastAsia="en-PH"/>
        </w:rPr>
      </w:pPr>
      <w:r w:rsidRPr="006A53F7">
        <w:rPr>
          <w:rFonts w:ascii="Times New Roman" w:eastAsia="Times New Roman" w:hAnsi="Times New Roman" w:cs="Times New Roman"/>
          <w:lang w:val="en-PH" w:eastAsia="en-PH"/>
        </w:rPr>
        <w:br/>
      </w:r>
    </w:p>
    <w:p w14:paraId="5856AD24" w14:textId="77777777" w:rsidR="000B6857" w:rsidRPr="006A53F7" w:rsidRDefault="000B6857" w:rsidP="00516AD6">
      <w:pPr>
        <w:numPr>
          <w:ilvl w:val="0"/>
          <w:numId w:val="20"/>
        </w:numPr>
        <w:spacing w:line="240" w:lineRule="auto"/>
        <w:ind w:left="1080"/>
        <w:jc w:val="both"/>
        <w:textAlignment w:val="baseline"/>
        <w:rPr>
          <w:rFonts w:eastAsia="Times New Roman"/>
          <w:color w:val="0E101A"/>
          <w:lang w:val="en-PH" w:eastAsia="en-PH"/>
        </w:rPr>
      </w:pPr>
      <w:r w:rsidRPr="006A53F7">
        <w:rPr>
          <w:rFonts w:eastAsia="Times New Roman"/>
          <w:color w:val="0E101A"/>
          <w:u w:val="single"/>
          <w:lang w:val="en-PH" w:eastAsia="en-PH"/>
        </w:rPr>
        <w:t>Electronic AICS Monitoring System.</w:t>
      </w:r>
      <w:r w:rsidRPr="006A53F7">
        <w:rPr>
          <w:rFonts w:eastAsia="Times New Roman"/>
          <w:color w:val="0E101A"/>
          <w:lang w:val="en-PH" w:eastAsia="en-PH"/>
        </w:rPr>
        <w:t xml:space="preserve"> On April 19, 2022, the ISA III and ITO II attended a meeting held at the ARDAs office regarding the underlying issue of the liquidation process of the CIU and SWAD Offices. It was agreed upon that an application would be created to remediate the problem. The discussion of the application’s prototype has undergone several processes. On June 11, 2022, the ISA III, John Manuel M. Maguigad attended the PSP Program Review and Evaluation Workshop (PREW), where the CIU Liquidation Report Generator (CLRG) was introduced, and its salient features were discussed. The suggestions and recommendations of personnel in charge of the liquidation process, as well as thoughts and ideas of ARDO and RD during the activity, were being incorporated and worked upon by the undersigned. </w:t>
      </w:r>
    </w:p>
    <w:p w14:paraId="103D294E" w14:textId="77777777" w:rsidR="000B6857" w:rsidRPr="006A53F7" w:rsidRDefault="000B6857" w:rsidP="000B6857">
      <w:pPr>
        <w:spacing w:line="240" w:lineRule="auto"/>
        <w:rPr>
          <w:rFonts w:ascii="Times New Roman" w:eastAsia="Times New Roman" w:hAnsi="Times New Roman" w:cs="Times New Roman"/>
          <w:lang w:val="en-PH" w:eastAsia="en-PH"/>
        </w:rPr>
      </w:pPr>
      <w:r w:rsidRPr="006A53F7">
        <w:rPr>
          <w:rFonts w:ascii="Times New Roman" w:eastAsia="Times New Roman" w:hAnsi="Times New Roman" w:cs="Times New Roman"/>
          <w:lang w:val="en-PH" w:eastAsia="en-PH"/>
        </w:rPr>
        <w:br/>
      </w:r>
    </w:p>
    <w:p w14:paraId="1566460B" w14:textId="77777777" w:rsidR="000B6857" w:rsidRPr="006A53F7" w:rsidRDefault="000B6857" w:rsidP="00516AD6">
      <w:pPr>
        <w:numPr>
          <w:ilvl w:val="0"/>
          <w:numId w:val="21"/>
        </w:numPr>
        <w:spacing w:line="240" w:lineRule="auto"/>
        <w:jc w:val="both"/>
        <w:textAlignment w:val="baseline"/>
        <w:rPr>
          <w:rFonts w:eastAsia="Times New Roman"/>
          <w:color w:val="000000"/>
          <w:lang w:val="en-PH" w:eastAsia="en-PH"/>
        </w:rPr>
      </w:pPr>
      <w:r w:rsidRPr="006A53F7">
        <w:rPr>
          <w:rFonts w:eastAsia="Times New Roman"/>
          <w:color w:val="0E101A"/>
          <w:u w:val="single"/>
          <w:lang w:val="en-PH" w:eastAsia="en-PH"/>
        </w:rPr>
        <w:t>Social Pension Information System.</w:t>
      </w:r>
      <w:r w:rsidRPr="006A53F7">
        <w:rPr>
          <w:rFonts w:eastAsia="Times New Roman"/>
          <w:color w:val="0E101A"/>
          <w:lang w:val="en-PH" w:eastAsia="en-PH"/>
        </w:rPr>
        <w:t xml:space="preserve"> The Social Pension Information System was continuously enhanced based on recommendations of end-users, COA and the Finance Management Division enhanced to improve tagging, monitoring and management of Certificate of Eligibility Generation, Payroll and Repayroll Generation including updating of Beneficiary Status and Replacement. The following updates were included:</w:t>
      </w:r>
    </w:p>
    <w:p w14:paraId="0F99CA06" w14:textId="77777777" w:rsidR="000B6857" w:rsidRPr="006A53F7" w:rsidRDefault="000B6857" w:rsidP="00413F89">
      <w:pPr>
        <w:numPr>
          <w:ilvl w:val="1"/>
          <w:numId w:val="22"/>
        </w:numPr>
        <w:tabs>
          <w:tab w:val="left" w:pos="567"/>
        </w:tabs>
        <w:spacing w:line="240" w:lineRule="auto"/>
        <w:jc w:val="both"/>
        <w:textAlignment w:val="baseline"/>
        <w:rPr>
          <w:rFonts w:eastAsia="Times New Roman"/>
          <w:color w:val="000000"/>
          <w:lang w:val="en-PH" w:eastAsia="en-PH"/>
        </w:rPr>
      </w:pPr>
      <w:r w:rsidRPr="006A53F7">
        <w:rPr>
          <w:rFonts w:eastAsia="Times New Roman"/>
          <w:color w:val="000000"/>
          <w:lang w:val="en-PH" w:eastAsia="en-PH"/>
        </w:rPr>
        <w:t>Updating of the Payroll based on the Recommendation of the COA</w:t>
      </w:r>
    </w:p>
    <w:p w14:paraId="19E7FA3C" w14:textId="77777777" w:rsidR="000B6857" w:rsidRPr="006A53F7" w:rsidRDefault="000B6857" w:rsidP="00413F89">
      <w:pPr>
        <w:numPr>
          <w:ilvl w:val="1"/>
          <w:numId w:val="22"/>
        </w:numPr>
        <w:tabs>
          <w:tab w:val="left" w:pos="567"/>
        </w:tabs>
        <w:spacing w:line="240" w:lineRule="auto"/>
        <w:jc w:val="both"/>
        <w:textAlignment w:val="baseline"/>
        <w:rPr>
          <w:rFonts w:eastAsia="Times New Roman"/>
          <w:color w:val="000000"/>
          <w:lang w:val="en-PH" w:eastAsia="en-PH"/>
        </w:rPr>
      </w:pPr>
      <w:r w:rsidRPr="006A53F7">
        <w:rPr>
          <w:rFonts w:eastAsia="Times New Roman"/>
          <w:color w:val="000000"/>
          <w:lang w:val="en-PH" w:eastAsia="en-PH"/>
        </w:rPr>
        <w:lastRenderedPageBreak/>
        <w:t>Updating of the PaymasterList Generated as recommended by the Assistant Regional Director for Administration</w:t>
      </w:r>
    </w:p>
    <w:p w14:paraId="73779028" w14:textId="77777777" w:rsidR="000B6857" w:rsidRPr="006A53F7" w:rsidRDefault="000B6857" w:rsidP="00413F89">
      <w:pPr>
        <w:numPr>
          <w:ilvl w:val="1"/>
          <w:numId w:val="22"/>
        </w:numPr>
        <w:tabs>
          <w:tab w:val="left" w:pos="567"/>
        </w:tabs>
        <w:spacing w:line="240" w:lineRule="auto"/>
        <w:jc w:val="both"/>
        <w:textAlignment w:val="baseline"/>
        <w:rPr>
          <w:rFonts w:eastAsia="Times New Roman"/>
          <w:color w:val="000000"/>
          <w:lang w:val="en-PH" w:eastAsia="en-PH"/>
        </w:rPr>
      </w:pPr>
      <w:r w:rsidRPr="006A53F7">
        <w:rPr>
          <w:rFonts w:eastAsia="Times New Roman"/>
          <w:color w:val="000000"/>
          <w:lang w:val="en-PH" w:eastAsia="en-PH"/>
        </w:rPr>
        <w:t>Enhancement of the Deduplication mechanism of the System.</w:t>
      </w:r>
    </w:p>
    <w:p w14:paraId="211E722E" w14:textId="5FB9551D" w:rsidR="000B6857" w:rsidRPr="00023229" w:rsidRDefault="000B6857" w:rsidP="000B6857">
      <w:pPr>
        <w:numPr>
          <w:ilvl w:val="1"/>
          <w:numId w:val="22"/>
        </w:numPr>
        <w:tabs>
          <w:tab w:val="left" w:pos="567"/>
        </w:tabs>
        <w:spacing w:line="240" w:lineRule="auto"/>
        <w:jc w:val="both"/>
        <w:textAlignment w:val="baseline"/>
        <w:rPr>
          <w:rFonts w:eastAsia="Times New Roman"/>
          <w:color w:val="000000"/>
          <w:lang w:val="en-PH" w:eastAsia="en-PH"/>
        </w:rPr>
      </w:pPr>
      <w:r w:rsidRPr="006A53F7">
        <w:rPr>
          <w:rFonts w:eastAsia="Times New Roman"/>
          <w:color w:val="000000"/>
          <w:lang w:val="en-PH" w:eastAsia="en-PH"/>
        </w:rPr>
        <w:t>Inclusion of the UBD ID in the Social Pension based on the format provided by CO-ICTMS.</w:t>
      </w:r>
      <w:r w:rsidRPr="00023229">
        <w:rPr>
          <w:rFonts w:ascii="Times New Roman" w:eastAsia="Times New Roman" w:hAnsi="Times New Roman" w:cs="Times New Roman"/>
          <w:lang w:val="en-PH" w:eastAsia="en-PH"/>
        </w:rPr>
        <w:br/>
      </w:r>
    </w:p>
    <w:p w14:paraId="280F1E96" w14:textId="77777777" w:rsidR="000B6857" w:rsidRPr="006A53F7" w:rsidRDefault="000B6857" w:rsidP="00413F89">
      <w:pPr>
        <w:numPr>
          <w:ilvl w:val="0"/>
          <w:numId w:val="23"/>
        </w:numPr>
        <w:spacing w:line="240" w:lineRule="auto"/>
        <w:textAlignment w:val="baseline"/>
        <w:rPr>
          <w:rFonts w:eastAsia="Times New Roman"/>
          <w:color w:val="000000"/>
          <w:lang w:val="en-PH" w:eastAsia="en-PH"/>
        </w:rPr>
      </w:pPr>
      <w:r w:rsidRPr="006A53F7">
        <w:rPr>
          <w:rFonts w:eastAsia="Times New Roman"/>
          <w:color w:val="000000"/>
          <w:u w:val="single"/>
          <w:lang w:val="en-PH" w:eastAsia="en-PH"/>
        </w:rPr>
        <w:t>Human Resource Management Information System</w:t>
      </w:r>
      <w:r w:rsidRPr="006A53F7">
        <w:rPr>
          <w:rFonts w:eastAsia="Times New Roman"/>
          <w:color w:val="000000"/>
          <w:lang w:val="en-PH" w:eastAsia="en-PH"/>
        </w:rPr>
        <w:t>. The system has eleven modules that were presented during the GASS PREW on June 16-17, 2022. Some modules were already deployed and tested. Others are still being enhanced based on the recommendations during the GASS PREW.</w:t>
      </w:r>
      <w:r w:rsidRPr="006A53F7">
        <w:rPr>
          <w:rFonts w:ascii="Times New Roman" w:eastAsia="Times New Roman" w:hAnsi="Times New Roman" w:cs="Times New Roman"/>
          <w:lang w:val="en-PH" w:eastAsia="en-PH"/>
        </w:rPr>
        <w:br/>
      </w:r>
    </w:p>
    <w:p w14:paraId="67152C18" w14:textId="77777777" w:rsidR="000B6857" w:rsidRPr="006A53F7" w:rsidRDefault="000B6857" w:rsidP="00516AD6">
      <w:pPr>
        <w:numPr>
          <w:ilvl w:val="0"/>
          <w:numId w:val="24"/>
        </w:numPr>
        <w:spacing w:line="240" w:lineRule="auto"/>
        <w:textAlignment w:val="baseline"/>
        <w:rPr>
          <w:rFonts w:eastAsia="Times New Roman"/>
          <w:color w:val="000000"/>
          <w:lang w:val="en-PH" w:eastAsia="en-PH"/>
        </w:rPr>
      </w:pPr>
      <w:r w:rsidRPr="006A53F7">
        <w:rPr>
          <w:rFonts w:eastAsia="Times New Roman"/>
          <w:color w:val="000000"/>
          <w:lang w:val="en-PH" w:eastAsia="en-PH"/>
        </w:rPr>
        <w:t>The CMT I also Accomplished database design and google form form for CoVid Case and Investigation and Vaccine Monitoring Tool that will soon be incorporated to HRMIS</w:t>
      </w:r>
    </w:p>
    <w:p w14:paraId="32497920" w14:textId="77777777" w:rsidR="000B6857" w:rsidRPr="006A53F7" w:rsidRDefault="000B6857" w:rsidP="000B6857">
      <w:pPr>
        <w:spacing w:line="240" w:lineRule="auto"/>
        <w:rPr>
          <w:rFonts w:ascii="Times New Roman" w:eastAsia="Times New Roman" w:hAnsi="Times New Roman" w:cs="Times New Roman"/>
          <w:lang w:val="en-PH" w:eastAsia="en-PH"/>
        </w:rPr>
      </w:pPr>
    </w:p>
    <w:p w14:paraId="47B88363" w14:textId="77777777" w:rsidR="000B6857" w:rsidRPr="006A53F7" w:rsidRDefault="000B6857" w:rsidP="00516AD6">
      <w:pPr>
        <w:numPr>
          <w:ilvl w:val="0"/>
          <w:numId w:val="25"/>
        </w:numPr>
        <w:spacing w:line="240" w:lineRule="auto"/>
        <w:jc w:val="both"/>
        <w:textAlignment w:val="baseline"/>
        <w:rPr>
          <w:rFonts w:eastAsia="Times New Roman"/>
          <w:color w:val="000000"/>
          <w:lang w:val="en-PH" w:eastAsia="en-PH"/>
        </w:rPr>
      </w:pPr>
      <w:r w:rsidRPr="006A53F7">
        <w:rPr>
          <w:rFonts w:eastAsia="Times New Roman"/>
          <w:color w:val="000000"/>
          <w:lang w:val="en-PH" w:eastAsia="en-PH"/>
        </w:rPr>
        <w:t>During the GASS PREW on June 16-17, the Information Systems that were developed by RICTMS were also presented and recommendations and suggestions were raised and are now being integrated in the Systems. The following systems were presented</w:t>
      </w:r>
    </w:p>
    <w:p w14:paraId="0C9540BD" w14:textId="77777777" w:rsidR="000B6857" w:rsidRPr="006A53F7" w:rsidRDefault="000B6857" w:rsidP="00516AD6">
      <w:pPr>
        <w:numPr>
          <w:ilvl w:val="1"/>
          <w:numId w:val="26"/>
        </w:numPr>
        <w:spacing w:line="240" w:lineRule="auto"/>
        <w:jc w:val="both"/>
        <w:textAlignment w:val="baseline"/>
        <w:rPr>
          <w:rFonts w:eastAsia="Times New Roman"/>
          <w:color w:val="000000"/>
          <w:lang w:val="en-PH" w:eastAsia="en-PH"/>
        </w:rPr>
      </w:pPr>
      <w:r w:rsidRPr="006A53F7">
        <w:rPr>
          <w:rFonts w:eastAsia="Times New Roman"/>
          <w:color w:val="000000"/>
          <w:lang w:val="en-PH" w:eastAsia="en-PH"/>
        </w:rPr>
        <w:t>Eletronic Personal Data Sheet (ePDS)</w:t>
      </w:r>
    </w:p>
    <w:p w14:paraId="54E148FB" w14:textId="77777777" w:rsidR="000B6857" w:rsidRPr="006A53F7" w:rsidRDefault="000B6857" w:rsidP="00516AD6">
      <w:pPr>
        <w:numPr>
          <w:ilvl w:val="1"/>
          <w:numId w:val="26"/>
        </w:numPr>
        <w:spacing w:line="240" w:lineRule="auto"/>
        <w:jc w:val="both"/>
        <w:textAlignment w:val="baseline"/>
        <w:rPr>
          <w:rFonts w:eastAsia="Times New Roman"/>
          <w:color w:val="000000"/>
          <w:lang w:val="en-PH" w:eastAsia="en-PH"/>
        </w:rPr>
      </w:pPr>
      <w:r w:rsidRPr="006A53F7">
        <w:rPr>
          <w:rFonts w:eastAsia="Times New Roman"/>
          <w:color w:val="000000"/>
          <w:lang w:val="en-PH" w:eastAsia="en-PH"/>
        </w:rPr>
        <w:t>Vehicle Reservation Management/Monitoring System</w:t>
      </w:r>
    </w:p>
    <w:p w14:paraId="61B9B978" w14:textId="77777777" w:rsidR="000B6857" w:rsidRPr="006A53F7" w:rsidRDefault="000B6857" w:rsidP="00516AD6">
      <w:pPr>
        <w:numPr>
          <w:ilvl w:val="1"/>
          <w:numId w:val="26"/>
        </w:numPr>
        <w:spacing w:line="240" w:lineRule="auto"/>
        <w:jc w:val="both"/>
        <w:textAlignment w:val="baseline"/>
        <w:rPr>
          <w:rFonts w:eastAsia="Times New Roman"/>
          <w:color w:val="000000"/>
          <w:lang w:val="en-PH" w:eastAsia="en-PH"/>
        </w:rPr>
      </w:pPr>
      <w:r w:rsidRPr="006A53F7">
        <w:rPr>
          <w:rFonts w:eastAsia="Times New Roman"/>
          <w:color w:val="000000"/>
          <w:lang w:val="en-PH" w:eastAsia="en-PH"/>
        </w:rPr>
        <w:t>Human Resource Management Information System</w:t>
      </w:r>
    </w:p>
    <w:p w14:paraId="2D0D2D33" w14:textId="77777777" w:rsidR="000B6857" w:rsidRPr="006A53F7" w:rsidRDefault="000B6857" w:rsidP="000B6857">
      <w:pPr>
        <w:spacing w:line="240" w:lineRule="auto"/>
        <w:rPr>
          <w:rFonts w:ascii="Times New Roman" w:eastAsia="Times New Roman" w:hAnsi="Times New Roman" w:cs="Times New Roman"/>
          <w:lang w:val="en-PH" w:eastAsia="en-PH"/>
        </w:rPr>
      </w:pPr>
    </w:p>
    <w:p w14:paraId="6D8BD9FD" w14:textId="77777777" w:rsidR="000B6857" w:rsidRPr="006A53F7" w:rsidRDefault="000B6857" w:rsidP="00516AD6">
      <w:pPr>
        <w:numPr>
          <w:ilvl w:val="0"/>
          <w:numId w:val="27"/>
        </w:numPr>
        <w:spacing w:line="240" w:lineRule="auto"/>
        <w:jc w:val="both"/>
        <w:textAlignment w:val="baseline"/>
        <w:rPr>
          <w:rFonts w:eastAsia="Times New Roman"/>
          <w:color w:val="000000"/>
          <w:lang w:val="en-PH" w:eastAsia="en-PH"/>
        </w:rPr>
      </w:pPr>
      <w:r w:rsidRPr="006A53F7">
        <w:rPr>
          <w:rFonts w:eastAsia="Times New Roman"/>
          <w:color w:val="000000"/>
          <w:u w:val="single"/>
          <w:lang w:val="en-PH" w:eastAsia="en-PH"/>
        </w:rPr>
        <w:t>Pantawid Pamilya Dashboard</w:t>
      </w:r>
      <w:r w:rsidRPr="006A53F7">
        <w:rPr>
          <w:rFonts w:eastAsia="Times New Roman"/>
          <w:color w:val="000000"/>
          <w:lang w:val="en-PH" w:eastAsia="en-PH"/>
        </w:rPr>
        <w:t>. Development and deployment of Memorandum Circular 36 (MC36) Dashboard - Persistently Non-compliant beneficiary Monitoring  </w:t>
      </w:r>
    </w:p>
    <w:p w14:paraId="2F6385EE" w14:textId="47ED764E" w:rsidR="000B6857" w:rsidRPr="006A53F7" w:rsidRDefault="000B6857" w:rsidP="00413F89">
      <w:pPr>
        <w:spacing w:after="240" w:line="240" w:lineRule="auto"/>
        <w:rPr>
          <w:rFonts w:ascii="Times New Roman" w:eastAsia="Times New Roman" w:hAnsi="Times New Roman" w:cs="Times New Roman"/>
          <w:lang w:val="en-PH" w:eastAsia="en-PH"/>
        </w:rPr>
      </w:pPr>
      <w:r w:rsidRPr="006A53F7">
        <w:rPr>
          <w:rFonts w:ascii="Times New Roman" w:eastAsia="Times New Roman" w:hAnsi="Times New Roman" w:cs="Times New Roman"/>
          <w:lang w:val="en-PH" w:eastAsia="en-PH"/>
        </w:rPr>
        <w:br/>
      </w:r>
      <w:r w:rsidRPr="006A53F7">
        <w:rPr>
          <w:rFonts w:ascii="Times New Roman" w:eastAsia="Times New Roman" w:hAnsi="Times New Roman" w:cs="Times New Roman"/>
          <w:noProof/>
          <w:bdr w:val="none" w:sz="0" w:space="0" w:color="auto" w:frame="1"/>
          <w:lang w:val="en-SG"/>
        </w:rPr>
        <w:drawing>
          <wp:inline distT="0" distB="0" distL="0" distR="0" wp14:anchorId="0DD13B2D" wp14:editId="2ED7DA3B">
            <wp:extent cx="5264150" cy="2501900"/>
            <wp:effectExtent l="0" t="0" r="0" b="0"/>
            <wp:docPr id="2" name="Picture 2" descr="https://lh5.googleusercontent.com/aQrOAGMBuVyj2f64vay1bh-oLtDs-WnWun78Pe0_dJS5ziLkaBoF37F7pgVTXSWNuwLVMYG1sYn4fhoUyJ_PRv_-2Q6aJvHpgPqpD5gw_drrv0Lmw5rxU9sCSSS2Jt61IWvuOGKj3-GC1yDf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QrOAGMBuVyj2f64vay1bh-oLtDs-WnWun78Pe0_dJS5ziLkaBoF37F7pgVTXSWNuwLVMYG1sYn4fhoUyJ_PRv_-2Q6aJvHpgPqpD5gw_drrv0Lmw5rxU9sCSSS2Jt61IWvuOGKj3-GC1yDft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0" cy="2501900"/>
                    </a:xfrm>
                    <a:prstGeom prst="rect">
                      <a:avLst/>
                    </a:prstGeom>
                    <a:noFill/>
                    <a:ln>
                      <a:noFill/>
                    </a:ln>
                  </pic:spPr>
                </pic:pic>
              </a:graphicData>
            </a:graphic>
          </wp:inline>
        </w:drawing>
      </w:r>
      <w:r w:rsidRPr="006A53F7">
        <w:rPr>
          <w:rFonts w:ascii="Times New Roman" w:eastAsia="Times New Roman" w:hAnsi="Times New Roman" w:cs="Times New Roman"/>
          <w:lang w:val="en-PH" w:eastAsia="en-PH"/>
        </w:rPr>
        <w:br/>
      </w:r>
      <w:r w:rsidRPr="006A53F7">
        <w:rPr>
          <w:rFonts w:ascii="Times New Roman" w:eastAsia="Times New Roman" w:hAnsi="Times New Roman" w:cs="Times New Roman"/>
          <w:lang w:val="en-PH" w:eastAsia="en-PH"/>
        </w:rPr>
        <w:br/>
      </w:r>
      <w:r w:rsidRPr="006A53F7">
        <w:rPr>
          <w:rFonts w:ascii="Times New Roman" w:eastAsia="Times New Roman" w:hAnsi="Times New Roman" w:cs="Times New Roman"/>
          <w:lang w:val="en-PH" w:eastAsia="en-PH"/>
        </w:rPr>
        <w:br/>
      </w:r>
      <w:r w:rsidRPr="006A53F7">
        <w:rPr>
          <w:rFonts w:eastAsia="Times New Roman"/>
          <w:color w:val="000000"/>
          <w:lang w:val="en-PH" w:eastAsia="en-PH"/>
        </w:rPr>
        <w:t>Development and Deployment of Family Development Session Monitoring Internal Report (FDS-MIR) Dashboard for User Acceptance Test (UAT) of PPPPMO last April 21, 2022</w:t>
      </w:r>
    </w:p>
    <w:p w14:paraId="1815B768" w14:textId="7CD4ACC9" w:rsidR="000B6857" w:rsidRPr="006A53F7" w:rsidRDefault="00023229" w:rsidP="000B6857">
      <w:pPr>
        <w:spacing w:after="240" w:line="240" w:lineRule="auto"/>
        <w:rPr>
          <w:rFonts w:ascii="Times New Roman" w:eastAsia="Times New Roman" w:hAnsi="Times New Roman" w:cs="Times New Roman"/>
          <w:lang w:val="en-PH" w:eastAsia="en-PH"/>
        </w:rPr>
      </w:pPr>
      <w:r w:rsidRPr="006A53F7">
        <w:rPr>
          <w:rFonts w:eastAsia="Times New Roman"/>
          <w:noProof/>
          <w:color w:val="000000"/>
          <w:bdr w:val="none" w:sz="0" w:space="0" w:color="auto" w:frame="1"/>
          <w:lang w:val="en-SG"/>
        </w:rPr>
        <w:drawing>
          <wp:inline distT="0" distB="0" distL="0" distR="0" wp14:anchorId="05F5911C" wp14:editId="3322F8CE">
            <wp:extent cx="5527169" cy="2039620"/>
            <wp:effectExtent l="0" t="0" r="0" b="0"/>
            <wp:docPr id="3" name="Picture 3" descr="https://lh6.googleusercontent.com/qUIgvap4r_2oIKJKZJl1WaMyRyfecBBUPmbTa9eqwnkEiSKvM9Uk1VI3K-cKFdHd1uNVub9xqGi6Q66LA6_yY1C4JFi3T6_FvPC4ATVkTDMuEWT7xAS0zYddvawVHCQ8XQPFGqCPziX67E6R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qUIgvap4r_2oIKJKZJl1WaMyRyfecBBUPmbTa9eqwnkEiSKvM9Uk1VI3K-cKFdHd1uNVub9xqGi6Q66LA6_yY1C4JFi3T6_FvPC4ATVkTDMuEWT7xAS0zYddvawVHCQ8XQPFGqCPziX67E6R3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0694" cy="2051991"/>
                    </a:xfrm>
                    <a:prstGeom prst="rect">
                      <a:avLst/>
                    </a:prstGeom>
                    <a:noFill/>
                    <a:ln>
                      <a:noFill/>
                    </a:ln>
                  </pic:spPr>
                </pic:pic>
              </a:graphicData>
            </a:graphic>
          </wp:inline>
        </w:drawing>
      </w:r>
    </w:p>
    <w:p w14:paraId="1429D040" w14:textId="33A9314A" w:rsidR="000B6857" w:rsidRPr="006A53F7" w:rsidRDefault="000B6857" w:rsidP="000B6857">
      <w:pPr>
        <w:spacing w:line="240" w:lineRule="auto"/>
        <w:ind w:left="270" w:firstLine="720"/>
        <w:jc w:val="both"/>
        <w:rPr>
          <w:rFonts w:ascii="Times New Roman" w:eastAsia="Times New Roman" w:hAnsi="Times New Roman" w:cs="Times New Roman"/>
          <w:lang w:val="en-PH" w:eastAsia="en-PH"/>
        </w:rPr>
      </w:pPr>
    </w:p>
    <w:p w14:paraId="2326D4F5" w14:textId="77777777" w:rsidR="000B6857" w:rsidRPr="006A53F7" w:rsidRDefault="000B6857" w:rsidP="000B6857">
      <w:pPr>
        <w:spacing w:after="200" w:line="240" w:lineRule="auto"/>
        <w:jc w:val="both"/>
        <w:textAlignment w:val="baseline"/>
        <w:rPr>
          <w:rFonts w:eastAsia="Times New Roman"/>
          <w:color w:val="000000"/>
          <w:lang w:val="en-PH" w:eastAsia="en-PH"/>
        </w:rPr>
      </w:pPr>
      <w:r w:rsidRPr="006A53F7">
        <w:rPr>
          <w:rFonts w:ascii="Times New Roman" w:eastAsia="Times New Roman" w:hAnsi="Times New Roman" w:cs="Times New Roman"/>
          <w:lang w:val="en-PH" w:eastAsia="en-PH"/>
        </w:rPr>
        <w:br/>
      </w:r>
      <w:r w:rsidRPr="006A53F7">
        <w:rPr>
          <w:rFonts w:ascii="Times New Roman" w:eastAsia="Times New Roman" w:hAnsi="Times New Roman" w:cs="Times New Roman"/>
          <w:lang w:val="en-PH" w:eastAsia="en-PH"/>
        </w:rPr>
        <w:br/>
      </w:r>
      <w:r w:rsidRPr="006A53F7">
        <w:rPr>
          <w:rFonts w:eastAsia="Times New Roman"/>
          <w:color w:val="000000"/>
          <w:u w:val="single"/>
          <w:lang w:val="en-PH" w:eastAsia="en-PH"/>
        </w:rPr>
        <w:t>Vehicle Monitoring System Dashboard</w:t>
      </w:r>
      <w:r w:rsidRPr="006A53F7">
        <w:rPr>
          <w:rFonts w:eastAsia="Times New Roman"/>
          <w:color w:val="000000"/>
          <w:lang w:val="en-PH" w:eastAsia="en-PH"/>
        </w:rPr>
        <w:t>. Mr. Jayvie N. Giwo, CMT II Designed visual monitoring dashboard site for end-user last April 19, 2022. This tool will be utilized in the requesting or reservation of DSWD Vehicles by the end-users in the field office. It was during the Program Review and Evaluation Workshop (PREW) of General Administration and Support Services Administration. Currently, the developer is working out on the suggestions raised during the PREW. The upgrade to a Google Web-based Application was triggered by one of the suggestions during the PREW. Hence, the tool already included a LOGIN FORM and REGISTRATION FORM which was not included in the initial design of the tool.</w:t>
      </w:r>
    </w:p>
    <w:p w14:paraId="23C48D34" w14:textId="77777777" w:rsidR="000B6857" w:rsidRPr="006A53F7" w:rsidRDefault="000B6857" w:rsidP="000B6857">
      <w:pPr>
        <w:spacing w:before="240" w:after="240"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 xml:space="preserve">Overall, based on the </w:t>
      </w:r>
      <w:r w:rsidRPr="006A53F7">
        <w:rPr>
          <w:rFonts w:eastAsia="Times New Roman"/>
          <w:b/>
          <w:bCs/>
          <w:color w:val="000000"/>
          <w:lang w:val="en-PH" w:eastAsia="en-PH"/>
        </w:rPr>
        <w:t>Client Satisfaction Measurement Survey Form</w:t>
      </w:r>
      <w:r w:rsidRPr="006A53F7">
        <w:rPr>
          <w:rFonts w:eastAsia="Times New Roman"/>
          <w:color w:val="000000"/>
          <w:lang w:val="en-PH" w:eastAsia="en-PH"/>
        </w:rPr>
        <w:t xml:space="preserve"> which is integrated in the Ticketing System, the average rating of RICTMS Staff was </w:t>
      </w:r>
      <w:r w:rsidRPr="006A53F7">
        <w:rPr>
          <w:rFonts w:eastAsia="Times New Roman"/>
          <w:b/>
          <w:bCs/>
          <w:color w:val="000000"/>
          <w:lang w:val="en-PH" w:eastAsia="en-PH"/>
        </w:rPr>
        <w:t>4.88</w:t>
      </w:r>
      <w:r w:rsidRPr="006A53F7">
        <w:rPr>
          <w:rFonts w:eastAsia="Times New Roman"/>
          <w:color w:val="000000"/>
          <w:lang w:val="en-PH" w:eastAsia="en-PH"/>
        </w:rPr>
        <w:t xml:space="preserve"> or </w:t>
      </w:r>
      <w:r w:rsidRPr="006A53F7">
        <w:rPr>
          <w:rFonts w:eastAsia="Times New Roman"/>
          <w:b/>
          <w:bCs/>
          <w:color w:val="000000"/>
          <w:lang w:val="en-PH" w:eastAsia="en-PH"/>
        </w:rPr>
        <w:t>97.6%</w:t>
      </w:r>
      <w:r w:rsidRPr="006A53F7">
        <w:rPr>
          <w:rFonts w:eastAsia="Times New Roman"/>
          <w:color w:val="000000"/>
          <w:lang w:val="en-PH" w:eastAsia="en-PH"/>
        </w:rPr>
        <w:t xml:space="preserve"> which is very satisfactory in the delivery of ICT related services in the Field Office.</w:t>
      </w:r>
    </w:p>
    <w:p w14:paraId="4669C155" w14:textId="77777777" w:rsidR="000B6857" w:rsidRPr="000B6857" w:rsidRDefault="000B6857" w:rsidP="000B6857">
      <w:pPr>
        <w:spacing w:after="160" w:line="240" w:lineRule="auto"/>
        <w:jc w:val="both"/>
        <w:textAlignment w:val="baseline"/>
        <w:rPr>
          <w:rFonts w:eastAsia="Times New Roman"/>
          <w:b/>
          <w:color w:val="000000"/>
          <w:sz w:val="24"/>
          <w:szCs w:val="24"/>
          <w:lang w:val="en-PH" w:eastAsia="en-PH"/>
        </w:rPr>
      </w:pPr>
      <w:r w:rsidRPr="00C75764">
        <w:rPr>
          <w:rFonts w:eastAsia="Times New Roman"/>
          <w:b/>
          <w:color w:val="000000"/>
          <w:sz w:val="24"/>
          <w:szCs w:val="24"/>
          <w:lang w:val="en-PH" w:eastAsia="en-PH"/>
        </w:rPr>
        <w:t>Internal Audit</w:t>
      </w:r>
    </w:p>
    <w:p w14:paraId="622AB19E" w14:textId="77777777" w:rsidR="00C75764" w:rsidRDefault="00C75764" w:rsidP="00C75764">
      <w:pPr>
        <w:jc w:val="both"/>
        <w:rPr>
          <w:rFonts w:eastAsiaTheme="minorHAnsi"/>
          <w:color w:val="000000" w:themeColor="text1"/>
          <w:sz w:val="24"/>
          <w:szCs w:val="24"/>
          <w:lang w:val="en-US" w:eastAsia="en-US"/>
        </w:rPr>
      </w:pPr>
      <w:r w:rsidRPr="00C75764">
        <w:rPr>
          <w:b/>
          <w:bCs/>
          <w:color w:val="000000" w:themeColor="text1"/>
          <w:sz w:val="24"/>
          <w:szCs w:val="24"/>
        </w:rPr>
        <w:t>Monitoring of compliance to policies and other regulations</w:t>
      </w:r>
      <w:r w:rsidRPr="00C75764">
        <w:rPr>
          <w:rFonts w:eastAsiaTheme="minorHAnsi"/>
          <w:color w:val="000000" w:themeColor="text1"/>
          <w:sz w:val="24"/>
          <w:szCs w:val="24"/>
          <w:lang w:val="en-US" w:eastAsia="en-US"/>
        </w:rPr>
        <w:t xml:space="preserve"> </w:t>
      </w:r>
    </w:p>
    <w:p w14:paraId="1AECEF24" w14:textId="77777777" w:rsidR="00C75764" w:rsidRDefault="00C75764" w:rsidP="00C75764">
      <w:pPr>
        <w:jc w:val="both"/>
        <w:rPr>
          <w:rFonts w:eastAsiaTheme="minorHAnsi"/>
          <w:color w:val="000000" w:themeColor="text1"/>
          <w:sz w:val="24"/>
          <w:szCs w:val="24"/>
          <w:lang w:val="en-US" w:eastAsia="en-US"/>
        </w:rPr>
      </w:pPr>
    </w:p>
    <w:p w14:paraId="0E9EEB68" w14:textId="77777777" w:rsidR="00C75764" w:rsidRPr="00C75764" w:rsidRDefault="00C75764" w:rsidP="00C75764">
      <w:pPr>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Reviewed, consolidated, and submitted the C.Y. 2021 4</w:t>
      </w:r>
      <w:r w:rsidRPr="00C75764">
        <w:rPr>
          <w:rFonts w:eastAsiaTheme="minorHAnsi"/>
          <w:color w:val="000000" w:themeColor="text1"/>
          <w:sz w:val="24"/>
          <w:szCs w:val="24"/>
          <w:vertAlign w:val="superscript"/>
          <w:lang w:val="en-US" w:eastAsia="en-US"/>
        </w:rPr>
        <w:t>th</w:t>
      </w:r>
      <w:r w:rsidRPr="00C75764">
        <w:rPr>
          <w:rFonts w:eastAsiaTheme="minorHAnsi"/>
          <w:color w:val="000000" w:themeColor="text1"/>
          <w:sz w:val="24"/>
          <w:szCs w:val="24"/>
          <w:lang w:val="en-US" w:eastAsia="en-US"/>
        </w:rPr>
        <w:t xml:space="preserve"> Quarter Integrity Compliance Report (ICORE) progress monitoring of the following units and sections to the Central Office’s Integrity Management Committee within the prescribed timeline:</w:t>
      </w:r>
    </w:p>
    <w:p w14:paraId="01B9B885" w14:textId="77777777" w:rsidR="00C75764" w:rsidRPr="00C75764" w:rsidRDefault="00C75764" w:rsidP="00516AD6">
      <w:pPr>
        <w:numPr>
          <w:ilvl w:val="0"/>
          <w:numId w:val="28"/>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Sustainable Livelihood Program;</w:t>
      </w:r>
    </w:p>
    <w:p w14:paraId="4CE88196" w14:textId="77777777" w:rsidR="00C75764" w:rsidRPr="00C75764" w:rsidRDefault="00C75764" w:rsidP="00516AD6">
      <w:pPr>
        <w:numPr>
          <w:ilvl w:val="0"/>
          <w:numId w:val="28"/>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Crisis Intervention Unit;</w:t>
      </w:r>
    </w:p>
    <w:p w14:paraId="0EC024F9" w14:textId="77777777" w:rsidR="00C75764" w:rsidRPr="00C75764" w:rsidRDefault="00C75764" w:rsidP="00516AD6">
      <w:pPr>
        <w:numPr>
          <w:ilvl w:val="0"/>
          <w:numId w:val="28"/>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Human Resource Planning and Performance Management Section;</w:t>
      </w:r>
    </w:p>
    <w:p w14:paraId="7C5727E4" w14:textId="77777777" w:rsidR="00C75764" w:rsidRPr="00C75764" w:rsidRDefault="00C75764" w:rsidP="00516AD6">
      <w:pPr>
        <w:numPr>
          <w:ilvl w:val="0"/>
          <w:numId w:val="28"/>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Supply and Property Section;</w:t>
      </w:r>
    </w:p>
    <w:p w14:paraId="36A241F3" w14:textId="77777777" w:rsidR="00C75764" w:rsidRPr="00C75764" w:rsidRDefault="00C75764" w:rsidP="00516AD6">
      <w:pPr>
        <w:numPr>
          <w:ilvl w:val="0"/>
          <w:numId w:val="28"/>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Social Marketing Unit; and</w:t>
      </w:r>
    </w:p>
    <w:p w14:paraId="09C8E551" w14:textId="77777777" w:rsidR="00C75764" w:rsidRPr="00C75764" w:rsidRDefault="00C75764" w:rsidP="00516AD6">
      <w:pPr>
        <w:numPr>
          <w:ilvl w:val="0"/>
          <w:numId w:val="28"/>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National Household Targeting Section.</w:t>
      </w:r>
    </w:p>
    <w:p w14:paraId="7B120653" w14:textId="77777777" w:rsidR="00C75764" w:rsidRPr="00C75764" w:rsidRDefault="00C75764" w:rsidP="00C75764">
      <w:pPr>
        <w:spacing w:after="160" w:line="259" w:lineRule="auto"/>
        <w:jc w:val="both"/>
        <w:rPr>
          <w:rFonts w:eastAsiaTheme="minorHAnsi"/>
          <w:color w:val="000000" w:themeColor="text1"/>
          <w:sz w:val="24"/>
          <w:szCs w:val="24"/>
          <w:lang w:val="en-US" w:eastAsia="en-US"/>
        </w:rPr>
      </w:pPr>
    </w:p>
    <w:p w14:paraId="7D899D4D" w14:textId="77777777" w:rsidR="00C75764" w:rsidRPr="00C75764" w:rsidRDefault="00C75764" w:rsidP="00C75764">
      <w:pPr>
        <w:spacing w:after="160" w:line="259" w:lineRule="auto"/>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Reviewed and submitted the Social Pension Management Action Plan (MAP) as response to the Audit Report pursuant to the audit conducted by the Central Office’s Internal Audit Services (CO-IAS) on the implementation of the Social Pension Program for Indigent Senior Citizens.</w:t>
      </w:r>
    </w:p>
    <w:p w14:paraId="23649C9E" w14:textId="77777777" w:rsidR="00C75764" w:rsidRPr="00C75764" w:rsidRDefault="00C75764" w:rsidP="00C75764">
      <w:pPr>
        <w:spacing w:after="160" w:line="259" w:lineRule="auto"/>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Conducted spot checks and surprise visits on the following offices on February 03, 2022:</w:t>
      </w:r>
    </w:p>
    <w:p w14:paraId="65D926CC" w14:textId="77777777" w:rsidR="00C75764" w:rsidRPr="00C75764" w:rsidRDefault="00C75764" w:rsidP="00516AD6">
      <w:pPr>
        <w:numPr>
          <w:ilvl w:val="0"/>
          <w:numId w:val="29"/>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San Pablo, Isabela Municipal Operations Office (MOO);</w:t>
      </w:r>
    </w:p>
    <w:p w14:paraId="56B2524D" w14:textId="77777777" w:rsidR="00C75764" w:rsidRPr="00C75764" w:rsidRDefault="00C75764" w:rsidP="00516AD6">
      <w:pPr>
        <w:numPr>
          <w:ilvl w:val="0"/>
          <w:numId w:val="29"/>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Cabagan, Iabela MOO and KALAHI-CIDSS Office;</w:t>
      </w:r>
    </w:p>
    <w:p w14:paraId="120C26EC" w14:textId="77777777" w:rsidR="00C75764" w:rsidRPr="00C75764" w:rsidRDefault="00C75764" w:rsidP="00516AD6">
      <w:pPr>
        <w:numPr>
          <w:ilvl w:val="0"/>
          <w:numId w:val="29"/>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Tumauini, Isabela MOO;</w:t>
      </w:r>
    </w:p>
    <w:p w14:paraId="773DE221" w14:textId="77777777" w:rsidR="00C75764" w:rsidRPr="00C75764" w:rsidRDefault="00C75764" w:rsidP="00516AD6">
      <w:pPr>
        <w:numPr>
          <w:ilvl w:val="0"/>
          <w:numId w:val="29"/>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Ilagan City, Isabela MOO:</w:t>
      </w:r>
    </w:p>
    <w:p w14:paraId="1C19073F" w14:textId="77777777" w:rsidR="00C75764" w:rsidRPr="00C75764" w:rsidRDefault="00C75764" w:rsidP="00516AD6">
      <w:pPr>
        <w:numPr>
          <w:ilvl w:val="0"/>
          <w:numId w:val="29"/>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Delfin Albano, Isabela MOO;</w:t>
      </w:r>
    </w:p>
    <w:p w14:paraId="0737CE16" w14:textId="77777777" w:rsidR="00C75764" w:rsidRPr="00C75764" w:rsidRDefault="00C75764" w:rsidP="00516AD6">
      <w:pPr>
        <w:numPr>
          <w:ilvl w:val="0"/>
          <w:numId w:val="29"/>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Sto. Tomas, Isabela MOO; and</w:t>
      </w:r>
    </w:p>
    <w:p w14:paraId="02E9DF70" w14:textId="77777777" w:rsidR="00C75764" w:rsidRDefault="00C75764" w:rsidP="00516AD6">
      <w:pPr>
        <w:numPr>
          <w:ilvl w:val="0"/>
          <w:numId w:val="29"/>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Sta. Maria, Isabela MOO.</w:t>
      </w:r>
    </w:p>
    <w:p w14:paraId="612D7D10" w14:textId="77777777" w:rsidR="00C75764" w:rsidRPr="00C75764" w:rsidRDefault="00C75764" w:rsidP="00C75764">
      <w:pPr>
        <w:spacing w:after="160" w:line="259" w:lineRule="auto"/>
        <w:ind w:left="720"/>
        <w:contextualSpacing/>
        <w:jc w:val="both"/>
        <w:rPr>
          <w:rFonts w:eastAsiaTheme="minorHAnsi"/>
          <w:color w:val="000000" w:themeColor="text1"/>
          <w:sz w:val="24"/>
          <w:szCs w:val="24"/>
          <w:lang w:val="en-US" w:eastAsia="en-US"/>
        </w:rPr>
      </w:pPr>
    </w:p>
    <w:p w14:paraId="2923C38E" w14:textId="77777777" w:rsidR="00C75764" w:rsidRPr="00C75764" w:rsidRDefault="00C75764" w:rsidP="00C75764">
      <w:pPr>
        <w:spacing w:after="160" w:line="259" w:lineRule="auto"/>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Conducted spot checks and surprise visits on the following offices on March 24, 2022:</w:t>
      </w:r>
    </w:p>
    <w:p w14:paraId="5C11E8EA" w14:textId="77777777" w:rsidR="00C75764" w:rsidRPr="00C75764" w:rsidRDefault="00C75764" w:rsidP="00516AD6">
      <w:pPr>
        <w:numPr>
          <w:ilvl w:val="0"/>
          <w:numId w:val="30"/>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Iguig, Cagayan MOO and KALAHI CIDSS Office;</w:t>
      </w:r>
    </w:p>
    <w:p w14:paraId="36213A0A" w14:textId="77777777" w:rsidR="00C75764" w:rsidRPr="00C75764" w:rsidRDefault="00C75764" w:rsidP="00516AD6">
      <w:pPr>
        <w:numPr>
          <w:ilvl w:val="0"/>
          <w:numId w:val="30"/>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Amulung, Cagayan MOO;</w:t>
      </w:r>
    </w:p>
    <w:p w14:paraId="33BC7417" w14:textId="77777777" w:rsidR="00C75764" w:rsidRPr="00C75764" w:rsidRDefault="00C75764" w:rsidP="00516AD6">
      <w:pPr>
        <w:numPr>
          <w:ilvl w:val="0"/>
          <w:numId w:val="30"/>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Lallo, Cagayan MOO;</w:t>
      </w:r>
    </w:p>
    <w:p w14:paraId="5FBE63C1" w14:textId="77777777" w:rsidR="00C75764" w:rsidRPr="00C75764" w:rsidRDefault="00C75764" w:rsidP="00516AD6">
      <w:pPr>
        <w:numPr>
          <w:ilvl w:val="0"/>
          <w:numId w:val="30"/>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Camalaniugan, Cagayan MOO;</w:t>
      </w:r>
    </w:p>
    <w:p w14:paraId="2605D54E" w14:textId="77777777" w:rsidR="00C75764" w:rsidRPr="00C75764" w:rsidRDefault="00C75764" w:rsidP="00516AD6">
      <w:pPr>
        <w:numPr>
          <w:ilvl w:val="0"/>
          <w:numId w:val="30"/>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Buguey, Cagayan MOO;</w:t>
      </w:r>
    </w:p>
    <w:p w14:paraId="48D4E448" w14:textId="77777777" w:rsidR="00C75764" w:rsidRPr="00C75764" w:rsidRDefault="00C75764" w:rsidP="00516AD6">
      <w:pPr>
        <w:numPr>
          <w:ilvl w:val="0"/>
          <w:numId w:val="30"/>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lastRenderedPageBreak/>
        <w:t>Sta. Teresita, Cagayan MOO; and</w:t>
      </w:r>
    </w:p>
    <w:p w14:paraId="2A467AEB" w14:textId="77777777" w:rsidR="00C75764" w:rsidRPr="00C75764" w:rsidRDefault="00C75764" w:rsidP="00516AD6">
      <w:pPr>
        <w:numPr>
          <w:ilvl w:val="0"/>
          <w:numId w:val="30"/>
        </w:numPr>
        <w:spacing w:after="160" w:line="259" w:lineRule="auto"/>
        <w:contextualSpacing/>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Sta. Ana, Cagayan MOO.</w:t>
      </w:r>
    </w:p>
    <w:p w14:paraId="6CE65E43" w14:textId="77777777" w:rsidR="000F000A" w:rsidRPr="000F000A" w:rsidRDefault="000F000A" w:rsidP="000F000A">
      <w:pPr>
        <w:shd w:val="clear" w:color="auto" w:fill="FFFFFF"/>
        <w:spacing w:line="240" w:lineRule="auto"/>
        <w:jc w:val="both"/>
        <w:rPr>
          <w:sz w:val="24"/>
          <w:szCs w:val="24"/>
        </w:rPr>
      </w:pPr>
    </w:p>
    <w:p w14:paraId="5CBB28D3" w14:textId="77777777" w:rsidR="00285FDE" w:rsidRDefault="00C75764" w:rsidP="000F000A">
      <w:pPr>
        <w:jc w:val="both"/>
        <w:rPr>
          <w:b/>
          <w:color w:val="000000" w:themeColor="text1"/>
          <w:sz w:val="24"/>
          <w:szCs w:val="24"/>
        </w:rPr>
      </w:pPr>
      <w:r w:rsidRPr="0057513D">
        <w:rPr>
          <w:b/>
          <w:color w:val="000000" w:themeColor="text1"/>
          <w:sz w:val="24"/>
          <w:szCs w:val="24"/>
        </w:rPr>
        <w:t>Internal Controls/Policies/ Procedures</w:t>
      </w:r>
    </w:p>
    <w:p w14:paraId="131A037E" w14:textId="77777777" w:rsidR="00C75764" w:rsidRDefault="00C75764" w:rsidP="00516AD6">
      <w:pPr>
        <w:pStyle w:val="ListParagraph"/>
        <w:numPr>
          <w:ilvl w:val="0"/>
          <w:numId w:val="31"/>
        </w:numPr>
        <w:spacing w:after="160" w:line="259" w:lineRule="auto"/>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 xml:space="preserve">Conducted regular reviews on various documents such as but not limited to project proposals of activities of the field office, correspondences, procurement-related documents, leave cards and others. </w:t>
      </w:r>
    </w:p>
    <w:p w14:paraId="619DB40E" w14:textId="77777777" w:rsidR="00E84E1D" w:rsidRPr="00C75764" w:rsidRDefault="00E84E1D" w:rsidP="00E84E1D">
      <w:pPr>
        <w:pStyle w:val="ListParagraph"/>
        <w:spacing w:after="160" w:line="259" w:lineRule="auto"/>
        <w:jc w:val="both"/>
        <w:rPr>
          <w:rFonts w:eastAsiaTheme="minorHAnsi"/>
          <w:color w:val="000000" w:themeColor="text1"/>
          <w:sz w:val="24"/>
          <w:szCs w:val="24"/>
          <w:lang w:val="en-US" w:eastAsia="en-US"/>
        </w:rPr>
      </w:pPr>
    </w:p>
    <w:p w14:paraId="6804AE45" w14:textId="77777777" w:rsidR="00C75764" w:rsidRDefault="00C75764" w:rsidP="00516AD6">
      <w:pPr>
        <w:pStyle w:val="ListParagraph"/>
        <w:numPr>
          <w:ilvl w:val="0"/>
          <w:numId w:val="31"/>
        </w:numPr>
        <w:spacing w:after="160" w:line="259" w:lineRule="auto"/>
        <w:jc w:val="both"/>
        <w:rPr>
          <w:rFonts w:eastAsiaTheme="minorHAnsi"/>
          <w:color w:val="000000" w:themeColor="text1"/>
          <w:sz w:val="24"/>
          <w:szCs w:val="24"/>
          <w:lang w:val="en-US" w:eastAsia="en-US"/>
        </w:rPr>
      </w:pPr>
      <w:r w:rsidRPr="00C75764">
        <w:rPr>
          <w:rFonts w:eastAsiaTheme="minorHAnsi"/>
          <w:color w:val="000000" w:themeColor="text1"/>
          <w:sz w:val="24"/>
          <w:szCs w:val="24"/>
          <w:lang w:val="en-US" w:eastAsia="en-US"/>
        </w:rPr>
        <w:t>Drafted a localized guidelines on the usage of Petty Cash Fund (PCF) and submitted to the Financial Management Division (FMD) for further review and enhancement. The Unit was also able to participate in the drafting of policy memorandum on the use of travel orders and calendar of activities issued by the Office of the Regional Director.</w:t>
      </w:r>
    </w:p>
    <w:p w14:paraId="4AEA2662" w14:textId="77777777" w:rsidR="00E84E1D" w:rsidRPr="00C75764" w:rsidRDefault="00E84E1D" w:rsidP="00E84E1D">
      <w:pPr>
        <w:pStyle w:val="ListParagraph"/>
        <w:spacing w:after="160" w:line="259" w:lineRule="auto"/>
        <w:jc w:val="both"/>
        <w:rPr>
          <w:rFonts w:eastAsiaTheme="minorHAnsi"/>
          <w:color w:val="000000" w:themeColor="text1"/>
          <w:sz w:val="24"/>
          <w:szCs w:val="24"/>
          <w:lang w:val="en-US" w:eastAsia="en-US"/>
        </w:rPr>
      </w:pPr>
    </w:p>
    <w:p w14:paraId="59D8362C" w14:textId="77777777" w:rsidR="00C75764" w:rsidRPr="00E84E1D" w:rsidRDefault="00C75764" w:rsidP="00516AD6">
      <w:pPr>
        <w:pStyle w:val="ListParagraph"/>
        <w:numPr>
          <w:ilvl w:val="0"/>
          <w:numId w:val="31"/>
        </w:numPr>
        <w:jc w:val="both"/>
        <w:rPr>
          <w:b/>
          <w:color w:val="000000" w:themeColor="text1"/>
        </w:rPr>
      </w:pPr>
      <w:r w:rsidRPr="00C75764">
        <w:rPr>
          <w:rFonts w:eastAsiaTheme="minorHAnsi"/>
          <w:color w:val="000000" w:themeColor="text1"/>
          <w:sz w:val="24"/>
          <w:szCs w:val="24"/>
          <w:lang w:val="en-US" w:eastAsia="en-US"/>
        </w:rPr>
        <w:t>The Unit, as the Hotline 8888 Focal Person of the Field Office, successfully undergone the ISO audit conducted by SOCOTEC, the external auditor accredited on the issuance of certification for the Department’s compliance with ISO standards and procedures</w:t>
      </w:r>
      <w:r>
        <w:rPr>
          <w:rFonts w:eastAsiaTheme="minorHAnsi"/>
          <w:color w:val="000000" w:themeColor="text1"/>
          <w:sz w:val="24"/>
          <w:szCs w:val="24"/>
          <w:lang w:val="en-US" w:eastAsia="en-US"/>
        </w:rPr>
        <w:t xml:space="preserve">. </w:t>
      </w:r>
    </w:p>
    <w:p w14:paraId="13CF6BAD" w14:textId="77777777" w:rsidR="00E84E1D" w:rsidRPr="00E84E1D" w:rsidRDefault="00E84E1D" w:rsidP="00E84E1D">
      <w:pPr>
        <w:jc w:val="both"/>
        <w:rPr>
          <w:b/>
          <w:color w:val="000000" w:themeColor="text1"/>
        </w:rPr>
      </w:pPr>
    </w:p>
    <w:p w14:paraId="56A30E53" w14:textId="77777777" w:rsidR="00C75764" w:rsidRPr="00C75764" w:rsidRDefault="00C75764" w:rsidP="00516AD6">
      <w:pPr>
        <w:pStyle w:val="ListParagraph"/>
        <w:numPr>
          <w:ilvl w:val="0"/>
          <w:numId w:val="31"/>
        </w:numPr>
        <w:jc w:val="both"/>
        <w:rPr>
          <w:b/>
          <w:color w:val="000000" w:themeColor="text1"/>
        </w:rPr>
      </w:pPr>
      <w:r w:rsidRPr="00C75764">
        <w:rPr>
          <w:color w:val="000000" w:themeColor="text1"/>
          <w:sz w:val="24"/>
          <w:szCs w:val="24"/>
        </w:rPr>
        <w:t>Delivered valid and timely responses to complaints and concerns received coursed through Hotline 8888, CSC-Contact Center ng Bayan, and Presidential Complaint Center</w:t>
      </w:r>
      <w:r>
        <w:rPr>
          <w:color w:val="000000" w:themeColor="text1"/>
          <w:sz w:val="24"/>
          <w:szCs w:val="24"/>
        </w:rPr>
        <w:t xml:space="preserve">. </w:t>
      </w:r>
    </w:p>
    <w:p w14:paraId="486965E9" w14:textId="77777777" w:rsidR="00C75764" w:rsidRPr="00C75764" w:rsidRDefault="00C75764" w:rsidP="00C75764">
      <w:pPr>
        <w:spacing w:before="240" w:after="240"/>
        <w:jc w:val="both"/>
        <w:rPr>
          <w:b/>
          <w:color w:val="000000"/>
        </w:rPr>
      </w:pPr>
      <w:r w:rsidRPr="00C75764">
        <w:rPr>
          <w:b/>
          <w:color w:val="000000"/>
        </w:rPr>
        <w:t>Social Marketing</w:t>
      </w:r>
    </w:p>
    <w:p w14:paraId="0E777ABB" w14:textId="77777777" w:rsidR="00C75764" w:rsidRPr="008F295F" w:rsidRDefault="00C75764" w:rsidP="00C75764">
      <w:pPr>
        <w:spacing w:before="240" w:after="240"/>
        <w:jc w:val="both"/>
        <w:rPr>
          <w:color w:val="000000"/>
          <w:sz w:val="24"/>
        </w:rPr>
      </w:pPr>
      <w:r w:rsidRPr="008F295F">
        <w:rPr>
          <w:color w:val="000000"/>
          <w:sz w:val="24"/>
        </w:rPr>
        <w:t>As the Department implemented several activities and projects this year, the Social Marketing Unit of the department provided advocacy and communication support through the production of Information, Education, and Communication (IEC) materials, publication of success stories and news reports highlighting the accomplishments of the programs, and other communication-related activities which aims to strengthen social marketing strategies and promotions of the Field Office II.</w:t>
      </w:r>
    </w:p>
    <w:p w14:paraId="18AC1EAB" w14:textId="77777777" w:rsidR="00C75764" w:rsidRPr="00C75764" w:rsidRDefault="00C75764" w:rsidP="00C75764">
      <w:pPr>
        <w:shd w:val="clear" w:color="auto" w:fill="FFFFFF"/>
        <w:spacing w:line="240" w:lineRule="auto"/>
        <w:jc w:val="both"/>
        <w:rPr>
          <w:rFonts w:ascii="Times New Roman" w:eastAsia="Times New Roman" w:hAnsi="Times New Roman" w:cs="Times New Roman"/>
          <w:sz w:val="24"/>
          <w:szCs w:val="24"/>
          <w:lang w:val="en-PH" w:eastAsia="en-PH"/>
        </w:rPr>
      </w:pPr>
      <w:r w:rsidRPr="00C75764">
        <w:rPr>
          <w:rFonts w:eastAsia="Times New Roman"/>
          <w:color w:val="050505"/>
          <w:sz w:val="24"/>
          <w:szCs w:val="24"/>
          <w:lang w:val="en-PH" w:eastAsia="en-PH"/>
        </w:rPr>
        <w:t>Various social media campaigns/advocacies were posted on FO’s Facebook page to safeguard the Department’s social protection programs and services against electioneering and political campaign activities.  </w:t>
      </w:r>
    </w:p>
    <w:p w14:paraId="1E214B95" w14:textId="77777777" w:rsidR="00C75764" w:rsidRPr="00C75764" w:rsidRDefault="00C75764" w:rsidP="00C75764">
      <w:pPr>
        <w:shd w:val="clear" w:color="auto" w:fill="FFFFFF"/>
        <w:spacing w:line="240" w:lineRule="auto"/>
        <w:ind w:firstLine="720"/>
        <w:jc w:val="both"/>
        <w:rPr>
          <w:rFonts w:ascii="Times New Roman" w:eastAsia="Times New Roman" w:hAnsi="Times New Roman" w:cs="Times New Roman"/>
          <w:sz w:val="24"/>
          <w:szCs w:val="24"/>
          <w:lang w:val="en-PH" w:eastAsia="en-PH"/>
        </w:rPr>
      </w:pPr>
      <w:r w:rsidRPr="00C75764">
        <w:rPr>
          <w:rFonts w:ascii="Times New Roman" w:eastAsia="Times New Roman" w:hAnsi="Times New Roman" w:cs="Times New Roman"/>
          <w:sz w:val="24"/>
          <w:szCs w:val="24"/>
          <w:lang w:val="en-PH" w:eastAsia="en-PH"/>
        </w:rPr>
        <w:t> </w:t>
      </w:r>
    </w:p>
    <w:p w14:paraId="7E5D5536" w14:textId="77777777" w:rsidR="00C75764" w:rsidRDefault="00C75764" w:rsidP="00C75764">
      <w:pPr>
        <w:shd w:val="clear" w:color="auto" w:fill="FFFFFF"/>
        <w:spacing w:line="240" w:lineRule="auto"/>
        <w:jc w:val="both"/>
        <w:rPr>
          <w:rFonts w:eastAsia="Times New Roman"/>
          <w:color w:val="FF0000"/>
          <w:sz w:val="24"/>
          <w:szCs w:val="24"/>
          <w:lang w:val="en-PH" w:eastAsia="en-PH"/>
        </w:rPr>
      </w:pPr>
      <w:r w:rsidRPr="00C75764">
        <w:rPr>
          <w:rFonts w:eastAsia="Times New Roman"/>
          <w:color w:val="050505"/>
          <w:sz w:val="24"/>
          <w:szCs w:val="24"/>
          <w:lang w:val="en-PH" w:eastAsia="en-PH"/>
        </w:rPr>
        <w:t>Also, the unit complied with the social media calendar cascaded by the Central Office’s Social Marketing Services (SMS) featuring contents on Assistance to Individuals in Crisis Situation, Social Pension, Centenarian, Recovery and Reintegration Program for Trafficked Persons, Supplementary Feeding Program, Kabit Bisig Laban sa Kahirapan Comprehensive Integrated Delivery of Social Services, Sustainable Livelihood Program, International Social Services Office, Pantawid Pamilya Pilipino Program, Foster Care and Adoption.</w:t>
      </w:r>
      <w:r w:rsidRPr="00C75764">
        <w:rPr>
          <w:rFonts w:eastAsia="Times New Roman"/>
          <w:color w:val="FF0000"/>
          <w:sz w:val="24"/>
          <w:szCs w:val="24"/>
          <w:lang w:val="en-PH" w:eastAsia="en-PH"/>
        </w:rPr>
        <w:t> </w:t>
      </w:r>
    </w:p>
    <w:p w14:paraId="5D9B00C3" w14:textId="77777777" w:rsidR="00C75764" w:rsidRDefault="00C75764" w:rsidP="00C75764">
      <w:pPr>
        <w:shd w:val="clear" w:color="auto" w:fill="FFFFFF"/>
        <w:spacing w:line="240" w:lineRule="auto"/>
        <w:jc w:val="both"/>
        <w:rPr>
          <w:rFonts w:eastAsia="Times New Roman"/>
          <w:color w:val="FF0000"/>
          <w:sz w:val="24"/>
          <w:szCs w:val="24"/>
          <w:lang w:val="en-PH" w:eastAsia="en-PH"/>
        </w:rPr>
      </w:pPr>
    </w:p>
    <w:p w14:paraId="1E791454" w14:textId="77777777" w:rsidR="00C75764" w:rsidRDefault="00C75764" w:rsidP="00C75764">
      <w:pPr>
        <w:shd w:val="clear" w:color="auto" w:fill="FFFFFF"/>
        <w:spacing w:line="240" w:lineRule="auto"/>
        <w:jc w:val="both"/>
        <w:rPr>
          <w:rFonts w:eastAsia="Times New Roman"/>
          <w:sz w:val="24"/>
          <w:szCs w:val="24"/>
          <w:lang w:val="en-PH" w:eastAsia="en-PH"/>
        </w:rPr>
      </w:pPr>
      <w:r w:rsidRPr="00C75764">
        <w:rPr>
          <w:rFonts w:eastAsia="Times New Roman"/>
          <w:sz w:val="24"/>
          <w:szCs w:val="24"/>
          <w:lang w:val="en-PH" w:eastAsia="en-PH"/>
        </w:rPr>
        <w:t>The following was the activities was co</w:t>
      </w:r>
      <w:r w:rsidR="005E3E96">
        <w:rPr>
          <w:rFonts w:eastAsia="Times New Roman"/>
          <w:sz w:val="24"/>
          <w:szCs w:val="24"/>
          <w:lang w:val="en-PH" w:eastAsia="en-PH"/>
        </w:rPr>
        <w:t>nducted</w:t>
      </w:r>
      <w:r w:rsidRPr="00C75764">
        <w:rPr>
          <w:rFonts w:eastAsia="Times New Roman"/>
          <w:sz w:val="24"/>
          <w:szCs w:val="24"/>
          <w:lang w:val="en-PH" w:eastAsia="en-PH"/>
        </w:rPr>
        <w:t xml:space="preserve"> by the </w:t>
      </w:r>
      <w:r w:rsidR="005E3E96">
        <w:rPr>
          <w:rFonts w:eastAsia="Times New Roman"/>
          <w:sz w:val="24"/>
          <w:szCs w:val="24"/>
          <w:lang w:val="en-PH" w:eastAsia="en-PH"/>
        </w:rPr>
        <w:t>S</w:t>
      </w:r>
      <w:r w:rsidRPr="00C75764">
        <w:rPr>
          <w:rFonts w:eastAsia="Times New Roman"/>
          <w:sz w:val="24"/>
          <w:szCs w:val="24"/>
          <w:lang w:val="en-PH" w:eastAsia="en-PH"/>
        </w:rPr>
        <w:t xml:space="preserve">ocial </w:t>
      </w:r>
      <w:r w:rsidR="005E3E96">
        <w:rPr>
          <w:rFonts w:eastAsia="Times New Roman"/>
          <w:sz w:val="24"/>
          <w:szCs w:val="24"/>
          <w:lang w:val="en-PH" w:eastAsia="en-PH"/>
        </w:rPr>
        <w:t>M</w:t>
      </w:r>
      <w:r w:rsidRPr="00C75764">
        <w:rPr>
          <w:rFonts w:eastAsia="Times New Roman"/>
          <w:sz w:val="24"/>
          <w:szCs w:val="24"/>
          <w:lang w:val="en-PH" w:eastAsia="en-PH"/>
        </w:rPr>
        <w:t xml:space="preserve">arketing </w:t>
      </w:r>
      <w:r w:rsidR="005E3E96">
        <w:rPr>
          <w:rFonts w:eastAsia="Times New Roman"/>
          <w:sz w:val="24"/>
          <w:szCs w:val="24"/>
          <w:lang w:val="en-PH" w:eastAsia="en-PH"/>
        </w:rPr>
        <w:t xml:space="preserve">Unit </w:t>
      </w:r>
      <w:r w:rsidRPr="00C75764">
        <w:rPr>
          <w:rFonts w:eastAsia="Times New Roman"/>
          <w:sz w:val="24"/>
          <w:szCs w:val="24"/>
          <w:lang w:val="en-PH" w:eastAsia="en-PH"/>
        </w:rPr>
        <w:t xml:space="preserve">for the semester: </w:t>
      </w:r>
    </w:p>
    <w:p w14:paraId="260DAC0A" w14:textId="77777777" w:rsidR="005E3E96" w:rsidRPr="00C75764" w:rsidRDefault="005E3E96" w:rsidP="00C75764">
      <w:pPr>
        <w:shd w:val="clear" w:color="auto" w:fill="FFFFFF"/>
        <w:spacing w:line="240" w:lineRule="auto"/>
        <w:jc w:val="both"/>
        <w:rPr>
          <w:rFonts w:eastAsia="Times New Roman"/>
          <w:sz w:val="24"/>
          <w:szCs w:val="24"/>
          <w:lang w:val="en-PH" w:eastAsia="en-PH"/>
        </w:rPr>
      </w:pPr>
    </w:p>
    <w:p w14:paraId="758DC715" w14:textId="77777777" w:rsidR="00C75764" w:rsidRDefault="00C75764" w:rsidP="00C75764">
      <w:pPr>
        <w:shd w:val="clear" w:color="auto" w:fill="FFFFFF"/>
        <w:spacing w:line="240" w:lineRule="auto"/>
        <w:jc w:val="both"/>
        <w:rPr>
          <w:color w:val="050505"/>
        </w:rPr>
      </w:pPr>
      <w:r>
        <w:rPr>
          <w:color w:val="050505"/>
        </w:rPr>
        <w:t xml:space="preserve">1. </w:t>
      </w:r>
      <w:r w:rsidRPr="00C75764">
        <w:rPr>
          <w:color w:val="050505"/>
        </w:rPr>
        <w:t>“Bawal ang Epal” Campaign</w:t>
      </w:r>
    </w:p>
    <w:p w14:paraId="2C3AE594" w14:textId="77777777" w:rsidR="008F295F" w:rsidRPr="00C75764" w:rsidRDefault="008F295F" w:rsidP="00C75764">
      <w:pPr>
        <w:shd w:val="clear" w:color="auto" w:fill="FFFFFF"/>
        <w:spacing w:line="240" w:lineRule="auto"/>
        <w:jc w:val="both"/>
        <w:rPr>
          <w:rFonts w:eastAsia="Times New Roman"/>
          <w:lang w:val="en-PH" w:eastAsia="en-PH"/>
        </w:rPr>
      </w:pPr>
    </w:p>
    <w:p w14:paraId="5B1B6D75" w14:textId="77777777" w:rsidR="00C75764" w:rsidRPr="00C75764" w:rsidRDefault="00C75764" w:rsidP="00C75764">
      <w:pPr>
        <w:shd w:val="clear" w:color="auto" w:fill="FFFFFF"/>
        <w:spacing w:line="240" w:lineRule="auto"/>
        <w:jc w:val="both"/>
        <w:rPr>
          <w:rFonts w:eastAsia="Times New Roman"/>
          <w:lang w:val="en-PH" w:eastAsia="en-PH"/>
        </w:rPr>
      </w:pPr>
      <w:r w:rsidRPr="00C75764">
        <w:rPr>
          <w:color w:val="050505"/>
        </w:rPr>
        <w:lastRenderedPageBreak/>
        <w:t>The Department of Social Welfare and Development Field Office II (DSWD FO II) called for a hybrid press conference today, April 11, 2022, to reiterate its commitment to safeguard its programs and services against any partisan politics during the election period.</w:t>
      </w:r>
    </w:p>
    <w:p w14:paraId="46431305" w14:textId="77777777" w:rsidR="005E3E96" w:rsidRDefault="005E3E96" w:rsidP="00C75764">
      <w:pPr>
        <w:shd w:val="clear" w:color="auto" w:fill="FFFFFF"/>
        <w:spacing w:line="240" w:lineRule="auto"/>
        <w:jc w:val="both"/>
        <w:rPr>
          <w:rFonts w:eastAsia="Times New Roman"/>
          <w:lang w:val="en-PH" w:eastAsia="en-PH"/>
        </w:rPr>
      </w:pPr>
    </w:p>
    <w:p w14:paraId="163D87C7" w14:textId="77777777" w:rsidR="00C75764" w:rsidRDefault="00C75764" w:rsidP="00C75764">
      <w:pPr>
        <w:shd w:val="clear" w:color="auto" w:fill="FFFFFF"/>
        <w:spacing w:line="240" w:lineRule="auto"/>
        <w:jc w:val="both"/>
        <w:rPr>
          <w:rFonts w:eastAsia="Times New Roman"/>
          <w:lang w:val="en-PH" w:eastAsia="en-PH"/>
        </w:rPr>
      </w:pPr>
      <w:r>
        <w:rPr>
          <w:rFonts w:eastAsia="Times New Roman"/>
          <w:lang w:val="en-PH" w:eastAsia="en-PH"/>
        </w:rPr>
        <w:t>2. Duterte Legacy Caravan</w:t>
      </w:r>
    </w:p>
    <w:p w14:paraId="30DA251C" w14:textId="77777777" w:rsidR="008F295F" w:rsidRPr="00C75764" w:rsidRDefault="008F295F" w:rsidP="00C75764">
      <w:pPr>
        <w:shd w:val="clear" w:color="auto" w:fill="FFFFFF"/>
        <w:spacing w:line="240" w:lineRule="auto"/>
        <w:jc w:val="both"/>
        <w:rPr>
          <w:rFonts w:eastAsia="Times New Roman"/>
          <w:lang w:val="en-PH" w:eastAsia="en-PH"/>
        </w:rPr>
      </w:pPr>
    </w:p>
    <w:p w14:paraId="518E926B" w14:textId="77777777" w:rsidR="00C75764" w:rsidRDefault="00C75764" w:rsidP="00C75764">
      <w:pPr>
        <w:shd w:val="clear" w:color="auto" w:fill="FFFFFF"/>
        <w:spacing w:line="240" w:lineRule="auto"/>
        <w:jc w:val="both"/>
        <w:rPr>
          <w:color w:val="050505"/>
        </w:rPr>
      </w:pPr>
      <w:r w:rsidRPr="00C75764">
        <w:rPr>
          <w:color w:val="050505"/>
        </w:rPr>
        <w:t xml:space="preserve">The Department of Social Welfare and Development Field Office 2 (DSWD FO2), together with the other line agencies, joined the Duterte Legacy Caravan at Camp Marcelo A. Adduru on April 27, 2022. </w:t>
      </w:r>
      <w:r w:rsidR="005E3E96" w:rsidRPr="005E3E96">
        <w:rPr>
          <w:color w:val="050505"/>
        </w:rPr>
        <w:t>The unit was able to document and participated in six (6) Duterte Caravans/information caravan held in Camp Marcelo Adduru, Tuguegarao City and in the municipalities of Rizal and Sto. Nino, Cagayan and Ambaguio, Nueva Vizcaya.</w:t>
      </w:r>
    </w:p>
    <w:p w14:paraId="473AC691" w14:textId="77777777" w:rsidR="008F295F" w:rsidRDefault="008F295F" w:rsidP="00C75764">
      <w:pPr>
        <w:shd w:val="clear" w:color="auto" w:fill="FFFFFF"/>
        <w:spacing w:line="240" w:lineRule="auto"/>
        <w:jc w:val="both"/>
        <w:rPr>
          <w:color w:val="050505"/>
        </w:rPr>
      </w:pPr>
    </w:p>
    <w:p w14:paraId="6593E464" w14:textId="77777777" w:rsidR="005E3E96" w:rsidRPr="00C75764" w:rsidRDefault="005E3E96" w:rsidP="00C75764">
      <w:pPr>
        <w:shd w:val="clear" w:color="auto" w:fill="FFFFFF"/>
        <w:spacing w:line="240" w:lineRule="auto"/>
        <w:jc w:val="both"/>
        <w:rPr>
          <w:rFonts w:eastAsia="Times New Roman"/>
          <w:lang w:val="en-PH" w:eastAsia="en-PH"/>
        </w:rPr>
      </w:pPr>
    </w:p>
    <w:p w14:paraId="75ADC224" w14:textId="77777777" w:rsidR="00C75764" w:rsidRDefault="00C75764" w:rsidP="00C75764">
      <w:pPr>
        <w:shd w:val="clear" w:color="auto" w:fill="FFFFFF"/>
        <w:spacing w:line="240" w:lineRule="auto"/>
        <w:jc w:val="both"/>
        <w:rPr>
          <w:rFonts w:eastAsia="Times New Roman"/>
          <w:lang w:val="en-PH" w:eastAsia="en-PH"/>
        </w:rPr>
      </w:pPr>
      <w:r>
        <w:rPr>
          <w:rFonts w:eastAsia="Times New Roman"/>
          <w:lang w:val="en-PH" w:eastAsia="en-PH"/>
        </w:rPr>
        <w:t xml:space="preserve">3. </w:t>
      </w:r>
      <w:r w:rsidR="005E3E96">
        <w:rPr>
          <w:rFonts w:eastAsia="Times New Roman"/>
          <w:lang w:val="en-PH" w:eastAsia="en-PH"/>
        </w:rPr>
        <w:t>Ceremonial Signing of MOA  with SPUP and UNA</w:t>
      </w:r>
    </w:p>
    <w:p w14:paraId="34E095FF" w14:textId="77777777" w:rsidR="008F295F" w:rsidRDefault="008F295F" w:rsidP="00C75764">
      <w:pPr>
        <w:shd w:val="clear" w:color="auto" w:fill="FFFFFF"/>
        <w:spacing w:line="240" w:lineRule="auto"/>
        <w:jc w:val="both"/>
        <w:rPr>
          <w:rFonts w:eastAsia="Times New Roman"/>
          <w:lang w:val="en-PH" w:eastAsia="en-PH"/>
        </w:rPr>
      </w:pPr>
    </w:p>
    <w:p w14:paraId="25FDDBE9" w14:textId="77777777" w:rsidR="00C75764" w:rsidRDefault="00C75764" w:rsidP="00C75764">
      <w:pPr>
        <w:shd w:val="clear" w:color="auto" w:fill="FFFFFF"/>
        <w:spacing w:line="240" w:lineRule="auto"/>
        <w:jc w:val="both"/>
        <w:rPr>
          <w:rFonts w:eastAsia="Times New Roman"/>
          <w:lang w:val="en-PH" w:eastAsia="en-PH"/>
        </w:rPr>
      </w:pPr>
      <w:r w:rsidRPr="00C75764">
        <w:rPr>
          <w:rFonts w:eastAsia="Times New Roman"/>
          <w:lang w:val="en-PH" w:eastAsia="en-PH"/>
        </w:rPr>
        <w:t>With the understanding to work together to contribute to poverty alleviation and empowerment of the disadvantaged sectors, the Department of Social Welfare and Development Field Office 02 (DSWD FO2), through the Sustainable Livelihood Program (SLP), spearheaded the ceremonial signing of the Memorandum of Agreement (MOA) with St. Paul University Philippines (SPUP) and the renewal of Memorandum of Understanding (MOU) with Unitas Northern Alliance (UNA) during the Partnership Forum on May 26, 2022.</w:t>
      </w:r>
    </w:p>
    <w:p w14:paraId="16EA44CD" w14:textId="77777777" w:rsidR="005E3E96" w:rsidRDefault="005E3E96" w:rsidP="00C75764">
      <w:pPr>
        <w:shd w:val="clear" w:color="auto" w:fill="FFFFFF"/>
        <w:spacing w:line="240" w:lineRule="auto"/>
        <w:jc w:val="both"/>
        <w:rPr>
          <w:rFonts w:eastAsia="Times New Roman"/>
          <w:lang w:val="en-PH" w:eastAsia="en-PH"/>
        </w:rPr>
      </w:pPr>
    </w:p>
    <w:p w14:paraId="345E2711" w14:textId="2C9F3594" w:rsidR="005E3E96" w:rsidRPr="008F295F" w:rsidRDefault="008F295F" w:rsidP="008F295F">
      <w:pPr>
        <w:shd w:val="clear" w:color="auto" w:fill="FFFFFF"/>
        <w:spacing w:line="240" w:lineRule="auto"/>
        <w:jc w:val="both"/>
        <w:rPr>
          <w:rFonts w:eastAsia="Times New Roman"/>
          <w:lang w:val="en-PH" w:eastAsia="en-PH"/>
        </w:rPr>
      </w:pPr>
      <w:r>
        <w:rPr>
          <w:rFonts w:eastAsia="Times New Roman"/>
          <w:lang w:val="en-PH" w:eastAsia="en-PH"/>
        </w:rPr>
        <w:t xml:space="preserve">4. </w:t>
      </w:r>
      <w:r w:rsidR="005E3E96" w:rsidRPr="008F295F">
        <w:rPr>
          <w:rFonts w:eastAsia="Times New Roman"/>
          <w:lang w:val="en-PH" w:eastAsia="en-PH"/>
        </w:rPr>
        <w:t>Community-Based Mapping through GIS</w:t>
      </w:r>
    </w:p>
    <w:p w14:paraId="3982AFB2" w14:textId="77777777" w:rsidR="008F295F" w:rsidRPr="008F295F" w:rsidRDefault="008F295F" w:rsidP="008F295F">
      <w:pPr>
        <w:pStyle w:val="ListParagraph"/>
        <w:shd w:val="clear" w:color="auto" w:fill="FFFFFF"/>
        <w:spacing w:line="240" w:lineRule="auto"/>
        <w:jc w:val="both"/>
        <w:rPr>
          <w:rFonts w:eastAsia="Times New Roman"/>
          <w:lang w:val="en-PH" w:eastAsia="en-PH"/>
        </w:rPr>
      </w:pPr>
    </w:p>
    <w:p w14:paraId="1B0D92AA" w14:textId="77777777" w:rsidR="00C75764" w:rsidRPr="00C75764" w:rsidRDefault="005E3E96" w:rsidP="005E3E96">
      <w:pPr>
        <w:shd w:val="clear" w:color="auto" w:fill="FFFFFF"/>
        <w:spacing w:line="240" w:lineRule="auto"/>
        <w:jc w:val="both"/>
        <w:rPr>
          <w:rFonts w:eastAsia="Times New Roman"/>
          <w:lang w:val="en-PH" w:eastAsia="en-PH"/>
        </w:rPr>
      </w:pPr>
      <w:r w:rsidRPr="005E3E96">
        <w:rPr>
          <w:color w:val="000000"/>
        </w:rPr>
        <w:t>The Department of Social Welfare and Development (DSWD) Central Office, in coordination with DSWD Field Office 2 (DSWD FO2), is conducting a workshop on Community-Based Mapping for Strengthening Disaster Resiliency through Geographic Information System (GIS) at Go Hotels Plus from May 24-27, 2022.</w:t>
      </w:r>
    </w:p>
    <w:p w14:paraId="72C05547" w14:textId="77777777" w:rsidR="00C75764" w:rsidRPr="00C75764" w:rsidRDefault="00C75764" w:rsidP="00C75764">
      <w:pPr>
        <w:ind w:left="360"/>
        <w:jc w:val="both"/>
        <w:rPr>
          <w:b/>
          <w:color w:val="000000" w:themeColor="text1"/>
        </w:rPr>
      </w:pPr>
    </w:p>
    <w:p w14:paraId="5794769C" w14:textId="4EB0BA30" w:rsidR="00C75764" w:rsidRPr="008F295F" w:rsidRDefault="008F295F" w:rsidP="008F295F">
      <w:pPr>
        <w:jc w:val="both"/>
        <w:rPr>
          <w:bCs/>
          <w:color w:val="000000"/>
        </w:rPr>
      </w:pPr>
      <w:r>
        <w:rPr>
          <w:bCs/>
          <w:color w:val="000000"/>
        </w:rPr>
        <w:t xml:space="preserve">5. </w:t>
      </w:r>
      <w:r w:rsidR="005E3E96" w:rsidRPr="008F295F">
        <w:rPr>
          <w:bCs/>
          <w:color w:val="000000"/>
        </w:rPr>
        <w:t>Information Caravans</w:t>
      </w:r>
    </w:p>
    <w:p w14:paraId="61703B4D" w14:textId="77777777" w:rsidR="008F295F" w:rsidRPr="008F295F" w:rsidRDefault="008F295F" w:rsidP="008F295F">
      <w:pPr>
        <w:pStyle w:val="ListParagraph"/>
        <w:jc w:val="both"/>
        <w:rPr>
          <w:color w:val="000000" w:themeColor="text1"/>
        </w:rPr>
      </w:pPr>
    </w:p>
    <w:p w14:paraId="75971536" w14:textId="77777777" w:rsidR="005E3E96" w:rsidRDefault="005E3E96" w:rsidP="005E3E96">
      <w:pPr>
        <w:jc w:val="both"/>
        <w:rPr>
          <w:color w:val="000000" w:themeColor="text1"/>
        </w:rPr>
      </w:pPr>
      <w:r>
        <w:rPr>
          <w:color w:val="000000" w:themeColor="text1"/>
        </w:rPr>
        <w:t>SMU staff a</w:t>
      </w:r>
      <w:r w:rsidRPr="005E3E96">
        <w:rPr>
          <w:color w:val="000000" w:themeColor="text1"/>
        </w:rPr>
        <w:t>ttended the block-time radio program of the Field Office, DSWD Dos on Air!, aired at DZDA  every Wednesday, 4:00-5:00 in the afternoon through radio broadcast and live streaming providing updates on the different programs and services of the Department and with Program Focal Persons explaining on the scheduled topic every week. Radio guesting/Livestream was also conducted aired at DZDA and Bombo Radyo Tuguegarao.</w:t>
      </w:r>
    </w:p>
    <w:p w14:paraId="4015B0F4" w14:textId="77777777" w:rsidR="005E3E96" w:rsidRDefault="005E3E96" w:rsidP="005E3E96">
      <w:pPr>
        <w:jc w:val="both"/>
        <w:rPr>
          <w:color w:val="000000" w:themeColor="text1"/>
        </w:rPr>
      </w:pPr>
    </w:p>
    <w:p w14:paraId="1B324FB1" w14:textId="24B254F5" w:rsidR="005E3E96" w:rsidRDefault="005E3E96" w:rsidP="005E3E96">
      <w:pPr>
        <w:jc w:val="both"/>
        <w:rPr>
          <w:color w:val="000000"/>
          <w:shd w:val="clear" w:color="auto" w:fill="FFFFFF"/>
        </w:rPr>
      </w:pPr>
      <w:r>
        <w:rPr>
          <w:color w:val="000000" w:themeColor="text1"/>
        </w:rPr>
        <w:t>6.</w:t>
      </w:r>
      <w:r w:rsidR="008F295F">
        <w:rPr>
          <w:color w:val="000000" w:themeColor="text1"/>
        </w:rPr>
        <w:t xml:space="preserve"> </w:t>
      </w:r>
      <w:r>
        <w:rPr>
          <w:color w:val="000000" w:themeColor="text1"/>
        </w:rPr>
        <w:t xml:space="preserve"> Documented </w:t>
      </w:r>
      <w:r>
        <w:rPr>
          <w:color w:val="000000"/>
        </w:rPr>
        <w:t xml:space="preserve">one (1) </w:t>
      </w:r>
      <w:r>
        <w:rPr>
          <w:color w:val="000000"/>
          <w:shd w:val="clear" w:color="auto" w:fill="FFFFFF"/>
        </w:rPr>
        <w:t>4Ps Regional Ceremonial Graduation and Information Caravan held on June 10, 2022 at Robinson’s Place Tuguegarao was also conducted.</w:t>
      </w:r>
    </w:p>
    <w:p w14:paraId="742804FA" w14:textId="77777777" w:rsidR="005E3E96" w:rsidRDefault="005E3E96" w:rsidP="005E3E96">
      <w:pPr>
        <w:jc w:val="both"/>
        <w:rPr>
          <w:color w:val="000000"/>
          <w:shd w:val="clear" w:color="auto" w:fill="FFFFFF"/>
        </w:rPr>
      </w:pPr>
    </w:p>
    <w:p w14:paraId="314CFAE1" w14:textId="5CCC1974" w:rsidR="006A53F7" w:rsidRDefault="005E3E96" w:rsidP="00023229">
      <w:pPr>
        <w:jc w:val="both"/>
        <w:rPr>
          <w:color w:val="000000" w:themeColor="text1"/>
        </w:rPr>
      </w:pPr>
      <w:r>
        <w:rPr>
          <w:color w:val="000000" w:themeColor="text1"/>
        </w:rPr>
        <w:t xml:space="preserve">7. </w:t>
      </w:r>
      <w:r w:rsidRPr="005E3E96">
        <w:rPr>
          <w:color w:val="000000" w:themeColor="text1"/>
        </w:rPr>
        <w:t>Development and Publication of Press Releases and IEC Materials</w:t>
      </w:r>
    </w:p>
    <w:p w14:paraId="1CF96DAE" w14:textId="77777777" w:rsidR="00023229" w:rsidRPr="00023229" w:rsidRDefault="00023229" w:rsidP="00023229">
      <w:pPr>
        <w:jc w:val="both"/>
        <w:rPr>
          <w:color w:val="000000" w:themeColor="text1"/>
        </w:rPr>
      </w:pPr>
    </w:p>
    <w:p w14:paraId="714164D9" w14:textId="77777777" w:rsidR="005E3E96" w:rsidRPr="006A53F7" w:rsidRDefault="005E3E96" w:rsidP="005E3E96">
      <w:pPr>
        <w:spacing w:after="200" w:line="240" w:lineRule="auto"/>
        <w:jc w:val="both"/>
        <w:rPr>
          <w:rFonts w:eastAsia="Times New Roman"/>
          <w:color w:val="000000"/>
          <w:lang w:val="en-PH" w:eastAsia="en-PH"/>
        </w:rPr>
      </w:pPr>
      <w:r w:rsidRPr="006A53F7">
        <w:rPr>
          <w:rFonts w:eastAsia="Times New Roman"/>
          <w:color w:val="000000"/>
          <w:lang w:val="en-PH" w:eastAsia="en-PH"/>
        </w:rPr>
        <w:t xml:space="preserve">The unit was able to produce 51 press releases that were posted on the field office’s website and promoted through social media. A total 6 Audio Visual Presentations (AVPs) featuring news events on programs including-----distribution of assistance to </w:t>
      </w:r>
      <w:r w:rsidRPr="006A53F7">
        <w:rPr>
          <w:rFonts w:eastAsia="Times New Roman"/>
          <w:color w:val="050505"/>
          <w:shd w:val="clear" w:color="auto" w:fill="FFFFFF"/>
          <w:lang w:val="en-PH" w:eastAsia="en-PH"/>
        </w:rPr>
        <w:t>Internally Displaced Persons, Pamaddayaw na Paggradua na Pantawid Pamilya, Duterte Legacy Caravan, SLP’s Livelihood Assistance Grant, KALAHI CIDDS NCDDP AF Program, and 4Ps Tagumpay: Regional Ceremonial Graduation and Information Caravan</w:t>
      </w:r>
      <w:r w:rsidRPr="006A53F7">
        <w:rPr>
          <w:rFonts w:eastAsia="Times New Roman"/>
          <w:color w:val="000000"/>
          <w:lang w:val="en-PH" w:eastAsia="en-PH"/>
        </w:rPr>
        <w:t>. All in all, the unit was able to produce IEC materials in the form of social media cards, quote cards, info graphics, AVPs and brochures.</w:t>
      </w:r>
    </w:p>
    <w:p w14:paraId="74C6D43C" w14:textId="77777777" w:rsidR="005E3E96" w:rsidRDefault="005E3E96" w:rsidP="005E3E96">
      <w:pPr>
        <w:spacing w:after="200" w:line="240" w:lineRule="auto"/>
        <w:jc w:val="both"/>
        <w:rPr>
          <w:rFonts w:eastAsia="Times New Roman"/>
          <w:color w:val="000000"/>
          <w:sz w:val="24"/>
          <w:szCs w:val="24"/>
          <w:lang w:val="en-PH" w:eastAsia="en-PH"/>
        </w:rPr>
      </w:pPr>
      <w:r>
        <w:rPr>
          <w:rFonts w:eastAsia="Times New Roman"/>
          <w:color w:val="000000"/>
          <w:sz w:val="24"/>
          <w:szCs w:val="24"/>
          <w:lang w:val="en-PH" w:eastAsia="en-PH"/>
        </w:rPr>
        <w:t>8. Communication Campaigns</w:t>
      </w:r>
    </w:p>
    <w:p w14:paraId="0AC9084C" w14:textId="77777777" w:rsidR="005E3E96" w:rsidRDefault="005E3E96" w:rsidP="005E3E96">
      <w:pPr>
        <w:spacing w:after="200" w:line="240" w:lineRule="auto"/>
        <w:jc w:val="both"/>
        <w:rPr>
          <w:color w:val="050505"/>
          <w:shd w:val="clear" w:color="auto" w:fill="FFFFFF"/>
        </w:rPr>
      </w:pPr>
      <w:r>
        <w:rPr>
          <w:color w:val="000000"/>
        </w:rPr>
        <w:t>Six (6) communication campaigns were implemented in line with the celebration of Buwan ng Panitikan</w:t>
      </w:r>
      <w:r>
        <w:rPr>
          <w:color w:val="050505"/>
          <w:shd w:val="clear" w:color="auto" w:fill="FFFFFF"/>
        </w:rPr>
        <w:t>, Philippine International AIDS Candlelight Memorial 2022</w:t>
      </w:r>
      <w:r>
        <w:rPr>
          <w:color w:val="000000"/>
        </w:rPr>
        <w:t xml:space="preserve">, </w:t>
      </w:r>
      <w:r>
        <w:rPr>
          <w:color w:val="050505"/>
          <w:shd w:val="clear" w:color="auto" w:fill="FFFFFF"/>
        </w:rPr>
        <w:t>International Day of Families,</w:t>
      </w:r>
      <w:r>
        <w:rPr>
          <w:color w:val="000000"/>
        </w:rPr>
        <w:t xml:space="preserve"> Adoption and Alternative Child Care Week and </w:t>
      </w:r>
      <w:r>
        <w:rPr>
          <w:color w:val="050505"/>
          <w:shd w:val="clear" w:color="auto" w:fill="FFFFFF"/>
        </w:rPr>
        <w:t>second quarter Online National Simultaneous Earthquake Drill.</w:t>
      </w:r>
    </w:p>
    <w:p w14:paraId="5D5000E2" w14:textId="7D06E58D" w:rsidR="005E3E96" w:rsidRPr="005E3E96" w:rsidRDefault="005E3E96" w:rsidP="005E3E96">
      <w:pPr>
        <w:spacing w:before="240" w:after="240"/>
        <w:jc w:val="both"/>
        <w:rPr>
          <w:b/>
          <w:color w:val="000000"/>
        </w:rPr>
      </w:pPr>
      <w:r>
        <w:rPr>
          <w:b/>
          <w:color w:val="000000"/>
        </w:rPr>
        <w:lastRenderedPageBreak/>
        <w:t xml:space="preserve">Social Welfare and Institutional Development </w:t>
      </w:r>
      <w:r w:rsidR="008F295F">
        <w:rPr>
          <w:b/>
          <w:color w:val="000000"/>
        </w:rPr>
        <w:t>(SWIDS)</w:t>
      </w:r>
    </w:p>
    <w:p w14:paraId="613EBD8F" w14:textId="77777777" w:rsidR="005E3E96" w:rsidRPr="006A53F7" w:rsidRDefault="005E3E96" w:rsidP="005E3E96">
      <w:pPr>
        <w:spacing w:line="240" w:lineRule="auto"/>
        <w:ind w:left="-2" w:hanging="2"/>
        <w:jc w:val="both"/>
        <w:rPr>
          <w:rFonts w:ascii="Times New Roman" w:eastAsia="Times New Roman" w:hAnsi="Times New Roman" w:cs="Times New Roman"/>
          <w:lang w:val="en-PH" w:eastAsia="en-PH"/>
        </w:rPr>
      </w:pPr>
      <w:r w:rsidRPr="006A53F7">
        <w:rPr>
          <w:rFonts w:eastAsia="Times New Roman"/>
          <w:color w:val="000000"/>
          <w:lang w:val="en-PH" w:eastAsia="en-PH"/>
        </w:rPr>
        <w:t>The Social Welfare and Institutional Development Section (SWIDS) is mandated to lead in the planning and implementation of capability building activities and knowledge management operations of the Field Office. Along capability building, it sets standards, manages and sets up learning and development on social welfare and development (SWD). It initiates and sustains the development of SWD capability building activities, coordinates, and synergizes with DSWD intermediaries and stakeholders to become empowered, pro-active and highly supportive partners in the delivery of social services. It also sets up activities and builds capacities of its institutional partners through training/capability building in fostering a culture of excellence and professionalism that is responsive to institutional and organizational requirements. </w:t>
      </w:r>
    </w:p>
    <w:p w14:paraId="3EFB0086" w14:textId="77777777" w:rsidR="005E3E96" w:rsidRPr="006A53F7" w:rsidRDefault="005E3E96" w:rsidP="005E3E96">
      <w:pPr>
        <w:spacing w:before="240" w:after="240" w:line="240" w:lineRule="auto"/>
        <w:ind w:left="-2" w:hanging="2"/>
        <w:jc w:val="both"/>
        <w:rPr>
          <w:rFonts w:ascii="Times New Roman" w:eastAsia="Times New Roman" w:hAnsi="Times New Roman" w:cs="Times New Roman"/>
          <w:lang w:val="en-PH" w:eastAsia="en-PH"/>
        </w:rPr>
      </w:pPr>
      <w:r w:rsidRPr="006A53F7">
        <w:rPr>
          <w:rFonts w:eastAsia="Times New Roman"/>
          <w:color w:val="000000"/>
          <w:lang w:val="en-PH" w:eastAsia="en-PH"/>
        </w:rPr>
        <w:t>The SWIDS sets and manages the functionality and operationalization of the knowledge management capacity. It also manages the learning resource center and facilities for knowledge exchange and interaction.</w:t>
      </w:r>
    </w:p>
    <w:p w14:paraId="3E4FEBE6" w14:textId="77777777" w:rsidR="005E3E96" w:rsidRPr="006A53F7" w:rsidRDefault="005E3E96" w:rsidP="00516AD6">
      <w:pPr>
        <w:pStyle w:val="ListParagraph"/>
        <w:numPr>
          <w:ilvl w:val="0"/>
          <w:numId w:val="31"/>
        </w:numPr>
        <w:spacing w:line="240" w:lineRule="auto"/>
        <w:ind w:right="135"/>
        <w:jc w:val="both"/>
        <w:rPr>
          <w:rFonts w:eastAsia="Times New Roman"/>
          <w:lang w:val="en-PH" w:eastAsia="en-PH"/>
        </w:rPr>
      </w:pPr>
      <w:r w:rsidRPr="006A53F7">
        <w:rPr>
          <w:rFonts w:eastAsia="Times New Roman"/>
          <w:color w:val="000000"/>
          <w:lang w:val="en-PH" w:eastAsia="en-PH"/>
        </w:rPr>
        <w:t>Submitted 1 KP entitled DSWD FO2 DROMIC DASHBOARD for critiquing by the KM team prior to the SWIDB TA Portal. (4 KSS already submitted to support this KP under Quality criteria)</w:t>
      </w:r>
    </w:p>
    <w:p w14:paraId="1B199A84" w14:textId="77777777" w:rsidR="005E3E96" w:rsidRPr="006A53F7" w:rsidRDefault="005E3E96" w:rsidP="00516AD6">
      <w:pPr>
        <w:pStyle w:val="ListParagraph"/>
        <w:numPr>
          <w:ilvl w:val="0"/>
          <w:numId w:val="31"/>
        </w:numPr>
        <w:spacing w:after="200" w:line="240" w:lineRule="auto"/>
        <w:jc w:val="both"/>
        <w:rPr>
          <w:rFonts w:eastAsia="Times New Roman"/>
          <w:lang w:val="en-PH" w:eastAsia="en-PH"/>
        </w:rPr>
      </w:pPr>
      <w:r w:rsidRPr="006A53F7">
        <w:rPr>
          <w:rFonts w:eastAsia="Times New Roman"/>
          <w:lang w:val="en-PH" w:eastAsia="en-PH"/>
        </w:rPr>
        <w:t>Conducted 13 capability-building activities for the first semester. It conducted eight (8) knowledge sharing sessions: one big group knowledge sharing session (SWD Forum), and seven (7) small group knowledge sharing sessions (meetings and coaching and mentoring session).</w:t>
      </w:r>
    </w:p>
    <w:p w14:paraId="4BB01A5D" w14:textId="77777777" w:rsidR="005E3E96" w:rsidRPr="006A53F7" w:rsidRDefault="005E3E96" w:rsidP="005E3E96">
      <w:pPr>
        <w:rPr>
          <w:rFonts w:eastAsia="Times New Roman"/>
          <w:b/>
          <w:lang w:val="en-PH" w:eastAsia="en-PH"/>
        </w:rPr>
      </w:pPr>
      <w:r w:rsidRPr="006A53F7">
        <w:rPr>
          <w:rFonts w:eastAsia="Times New Roman"/>
          <w:b/>
          <w:lang w:val="en-PH" w:eastAsia="en-PH"/>
        </w:rPr>
        <w:t>Human Resource Management and Development</w:t>
      </w:r>
    </w:p>
    <w:p w14:paraId="3DF04C69" w14:textId="77777777" w:rsidR="005E3E96" w:rsidRPr="006A53F7" w:rsidRDefault="005E3E96" w:rsidP="005E3E96">
      <w:pPr>
        <w:rPr>
          <w:rFonts w:eastAsia="Times New Roman"/>
          <w:b/>
          <w:lang w:val="en-PH" w:eastAsia="en-PH"/>
        </w:rPr>
      </w:pPr>
    </w:p>
    <w:p w14:paraId="46B01DD4"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b/>
          <w:bCs/>
          <w:color w:val="000000"/>
          <w:lang w:val="en-PH" w:eastAsia="en-PH"/>
        </w:rPr>
        <w:t>I. Recruitment Selection and Placement</w:t>
      </w:r>
    </w:p>
    <w:p w14:paraId="6D752501" w14:textId="77777777" w:rsidR="005E3E96" w:rsidRPr="006A53F7" w:rsidRDefault="005E3E96" w:rsidP="005E3E96">
      <w:pPr>
        <w:spacing w:line="240" w:lineRule="auto"/>
        <w:rPr>
          <w:rFonts w:ascii="Times New Roman" w:eastAsia="Times New Roman" w:hAnsi="Times New Roman" w:cs="Times New Roman"/>
          <w:lang w:val="en-PH" w:eastAsia="en-PH"/>
        </w:rPr>
      </w:pPr>
    </w:p>
    <w:p w14:paraId="42199325"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The tables below represent the status of hiring as of 30 June 2022 </w:t>
      </w:r>
    </w:p>
    <w:p w14:paraId="6A2ECEFA" w14:textId="77777777" w:rsidR="005E3E96" w:rsidRPr="006A53F7" w:rsidRDefault="005E3E96" w:rsidP="005E3E96">
      <w:pPr>
        <w:spacing w:line="240" w:lineRule="auto"/>
        <w:rPr>
          <w:rFonts w:ascii="Times New Roman" w:eastAsia="Times New Roman" w:hAnsi="Times New Roman" w:cs="Times New Roman"/>
          <w:lang w:val="en-PH" w:eastAsia="en-PH"/>
        </w:rPr>
      </w:pPr>
    </w:p>
    <w:p w14:paraId="20C7332D"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b/>
          <w:bCs/>
          <w:color w:val="000000"/>
          <w:lang w:val="en-PH" w:eastAsia="en-PH"/>
        </w:rPr>
        <w:t>Table A. Percentage of Hiring</w:t>
      </w:r>
    </w:p>
    <w:p w14:paraId="1502FD79" w14:textId="77777777" w:rsidR="005E3E96" w:rsidRPr="006A53F7" w:rsidRDefault="005E3E96" w:rsidP="005E3E96">
      <w:pPr>
        <w:spacing w:line="240" w:lineRule="auto"/>
        <w:rPr>
          <w:rFonts w:ascii="Times New Roman" w:eastAsia="Times New Roman" w:hAnsi="Times New Roman" w:cs="Times New Roman"/>
          <w:lang w:val="en-PH" w:eastAsia="en-PH"/>
        </w:rPr>
      </w:pPr>
    </w:p>
    <w:tbl>
      <w:tblPr>
        <w:tblW w:w="0" w:type="auto"/>
        <w:tblCellMar>
          <w:top w:w="15" w:type="dxa"/>
          <w:left w:w="15" w:type="dxa"/>
          <w:bottom w:w="15" w:type="dxa"/>
          <w:right w:w="15" w:type="dxa"/>
        </w:tblCellMar>
        <w:tblLook w:val="04A0" w:firstRow="1" w:lastRow="0" w:firstColumn="1" w:lastColumn="0" w:noHBand="0" w:noVBand="1"/>
      </w:tblPr>
      <w:tblGrid>
        <w:gridCol w:w="2206"/>
        <w:gridCol w:w="947"/>
      </w:tblGrid>
      <w:tr w:rsidR="005E3E96" w:rsidRPr="006A53F7" w14:paraId="58055C4B"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C2C04F"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Particular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5856C4"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Data</w:t>
            </w:r>
          </w:p>
        </w:tc>
      </w:tr>
      <w:tr w:rsidR="005E3E96" w:rsidRPr="006A53F7" w14:paraId="5E163598"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B280D6"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Authorized positions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0586EE"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1206</w:t>
            </w:r>
          </w:p>
        </w:tc>
      </w:tr>
      <w:tr w:rsidR="005E3E96" w:rsidRPr="006A53F7" w14:paraId="267D2807"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12FFF5"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Filled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F21786"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1138</w:t>
            </w:r>
          </w:p>
        </w:tc>
      </w:tr>
      <w:tr w:rsidR="005E3E96" w:rsidRPr="006A53F7" w14:paraId="0A6E8891"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A755ECC"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Unfilled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C2922C"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68</w:t>
            </w:r>
          </w:p>
        </w:tc>
      </w:tr>
      <w:tr w:rsidR="005E3E96" w:rsidRPr="006A53F7" w14:paraId="6CEF2B14"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79C96A"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Percentage of Hiring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30BDD3"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94.36%</w:t>
            </w:r>
          </w:p>
        </w:tc>
      </w:tr>
    </w:tbl>
    <w:p w14:paraId="2E549FE5" w14:textId="77777777" w:rsidR="005E3E96" w:rsidRPr="006A53F7" w:rsidRDefault="005E3E96" w:rsidP="005E3E96">
      <w:pPr>
        <w:spacing w:line="240" w:lineRule="auto"/>
        <w:rPr>
          <w:rFonts w:ascii="Times New Roman" w:eastAsia="Times New Roman" w:hAnsi="Times New Roman" w:cs="Times New Roman"/>
          <w:lang w:val="en-PH" w:eastAsia="en-PH"/>
        </w:rPr>
      </w:pPr>
    </w:p>
    <w:p w14:paraId="7F86D0F4"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As gleaned in the above table, the percentage of hiring across all status of employment is marked at 94.36%.</w:t>
      </w:r>
    </w:p>
    <w:p w14:paraId="720B2CC1" w14:textId="77777777" w:rsidR="005E3E96" w:rsidRPr="006A53F7" w:rsidRDefault="005E3E96" w:rsidP="005E3E96">
      <w:pPr>
        <w:spacing w:line="240" w:lineRule="auto"/>
        <w:rPr>
          <w:rFonts w:ascii="Times New Roman" w:eastAsia="Times New Roman" w:hAnsi="Times New Roman" w:cs="Times New Roman"/>
          <w:lang w:val="en-PH" w:eastAsia="en-PH"/>
        </w:rPr>
      </w:pPr>
    </w:p>
    <w:p w14:paraId="31C0DBBB"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Table B. Unfilled per Division</w:t>
      </w:r>
    </w:p>
    <w:p w14:paraId="4EBA52E6" w14:textId="77777777" w:rsidR="005E3E96" w:rsidRPr="006A53F7" w:rsidRDefault="005E3E96" w:rsidP="005E3E96">
      <w:pPr>
        <w:spacing w:line="240" w:lineRule="auto"/>
        <w:rPr>
          <w:rFonts w:ascii="Times New Roman" w:eastAsia="Times New Roman" w:hAnsi="Times New Roman" w:cs="Times New Roman"/>
          <w:lang w:val="en-PH" w:eastAsia="en-PH"/>
        </w:rPr>
      </w:pPr>
    </w:p>
    <w:tbl>
      <w:tblPr>
        <w:tblW w:w="0" w:type="auto"/>
        <w:tblCellMar>
          <w:top w:w="15" w:type="dxa"/>
          <w:left w:w="15" w:type="dxa"/>
          <w:bottom w:w="15" w:type="dxa"/>
          <w:right w:w="15" w:type="dxa"/>
        </w:tblCellMar>
        <w:tblLook w:val="04A0" w:firstRow="1" w:lastRow="0" w:firstColumn="1" w:lastColumn="0" w:noHBand="0" w:noVBand="1"/>
      </w:tblPr>
      <w:tblGrid>
        <w:gridCol w:w="1191"/>
        <w:gridCol w:w="1338"/>
        <w:gridCol w:w="1423"/>
        <w:gridCol w:w="922"/>
        <w:gridCol w:w="677"/>
        <w:gridCol w:w="494"/>
        <w:gridCol w:w="690"/>
      </w:tblGrid>
      <w:tr w:rsidR="005E3E96" w:rsidRPr="006A53F7" w14:paraId="13217315"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0B23B6"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Division</w:t>
            </w:r>
          </w:p>
        </w:tc>
        <w:tc>
          <w:tcPr>
            <w:tcW w:w="0" w:type="auto"/>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65D503"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Status of Employment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A98A0A"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Total</w:t>
            </w:r>
          </w:p>
        </w:tc>
      </w:tr>
      <w:tr w:rsidR="005E3E96" w:rsidRPr="006A53F7" w14:paraId="21B3FA2B"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48B11E" w14:textId="77777777" w:rsidR="005E3E96" w:rsidRPr="006A53F7" w:rsidRDefault="005E3E96" w:rsidP="005E3E96">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BF801F"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b/>
                <w:bCs/>
                <w:color w:val="000000"/>
                <w:lang w:val="en-PH" w:eastAsia="en-PH"/>
              </w:rPr>
              <w:t>Permanent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A31641"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b/>
                <w:bCs/>
                <w:color w:val="000000"/>
                <w:lang w:val="en-PH" w:eastAsia="en-PH"/>
              </w:rPr>
              <w:t>Contractual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999228"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b/>
                <w:bCs/>
                <w:color w:val="000000"/>
                <w:lang w:val="en-PH" w:eastAsia="en-PH"/>
              </w:rPr>
              <w:t>Casual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88DA81"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b/>
                <w:bCs/>
                <w:color w:val="000000"/>
                <w:lang w:val="en-PH" w:eastAsia="en-PH"/>
              </w:rPr>
              <w:t>COS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3355C2"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b/>
                <w:bCs/>
                <w:color w:val="000000"/>
                <w:lang w:val="en-PH" w:eastAsia="en-PH"/>
              </w:rPr>
              <w:t>JO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6DFDF3" w14:textId="77777777" w:rsidR="005E3E96" w:rsidRPr="006A53F7" w:rsidRDefault="005E3E96" w:rsidP="005E3E96">
            <w:pPr>
              <w:spacing w:line="240" w:lineRule="auto"/>
              <w:rPr>
                <w:rFonts w:ascii="Times New Roman" w:eastAsia="Times New Roman" w:hAnsi="Times New Roman" w:cs="Times New Roman"/>
                <w:lang w:val="en-PH" w:eastAsia="en-PH"/>
              </w:rPr>
            </w:pPr>
          </w:p>
        </w:tc>
      </w:tr>
      <w:tr w:rsidR="005E3E96" w:rsidRPr="006A53F7" w14:paraId="41180DC5"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910184"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ORD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F3D9C8"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F6834F"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182347"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0E0966"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8B6725"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00CF28"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5</w:t>
            </w:r>
          </w:p>
        </w:tc>
      </w:tr>
      <w:tr w:rsidR="005E3E96" w:rsidRPr="006A53F7" w14:paraId="2865CCB4"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D5090B"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PPD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C8D9F7"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5EB2F2"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03BC10"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529CF6"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5C5978"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E10ABC"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r>
      <w:tr w:rsidR="005E3E96" w:rsidRPr="006A53F7" w14:paraId="418A9013"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6AD946"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Protective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1E41FF"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D6BF3D"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733459"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ABDBC1"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1A2F0B"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8B7EC1"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13</w:t>
            </w:r>
          </w:p>
        </w:tc>
      </w:tr>
      <w:tr w:rsidR="005E3E96" w:rsidRPr="006A53F7" w14:paraId="02AFBF00"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C5FA32"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lastRenderedPageBreak/>
              <w:t>Promotive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1C536F"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B9D284"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CE0246"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39F59E"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31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90A576"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286B79"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31</w:t>
            </w:r>
          </w:p>
        </w:tc>
      </w:tr>
      <w:tr w:rsidR="005E3E96" w:rsidRPr="006A53F7" w14:paraId="482CB401"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3F25C3"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DRMD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987D9D"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17BD5C"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C85DA5"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BD5A02"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32DB1E"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0CBFF4"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3</w:t>
            </w:r>
          </w:p>
        </w:tc>
      </w:tr>
      <w:tr w:rsidR="005E3E96" w:rsidRPr="006A53F7" w14:paraId="615FD67F"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026553"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Pantawid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F60E9F"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9BD222"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D96387"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CC1194"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CB24F1"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552B02"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12</w:t>
            </w:r>
          </w:p>
        </w:tc>
      </w:tr>
      <w:tr w:rsidR="005E3E96" w:rsidRPr="006A53F7" w14:paraId="3A643AED"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B4C01F"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FMD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3B3404"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472D43"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A01279"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F16919"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59C650"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A19C9EC"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r>
      <w:tr w:rsidR="005E3E96" w:rsidRPr="006A53F7" w14:paraId="7E502551"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3567EC"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ASD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E089B2"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0F5E02"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966598"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C43D27"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6ADF34"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01A627"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1</w:t>
            </w:r>
          </w:p>
        </w:tc>
      </w:tr>
      <w:tr w:rsidR="005E3E96" w:rsidRPr="006A53F7" w14:paraId="24799DBB"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B49E11"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HRMDD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20E5F1"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221A61"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5ACE2E"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A4BDD5"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138FC9"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7FF228"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3</w:t>
            </w:r>
          </w:p>
        </w:tc>
      </w:tr>
      <w:tr w:rsidR="005E3E96" w:rsidRPr="006A53F7" w14:paraId="4DF05BAC"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A4E76C"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TOTAL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4F136F"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A9486B"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4BE219"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2DBFE3"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46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272308"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77D341"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color w:val="000000"/>
                <w:lang w:val="en-PH" w:eastAsia="en-PH"/>
              </w:rPr>
              <w:t>68</w:t>
            </w:r>
          </w:p>
        </w:tc>
      </w:tr>
    </w:tbl>
    <w:p w14:paraId="18F9C761" w14:textId="77777777" w:rsidR="005E3E96" w:rsidRPr="006A53F7" w:rsidRDefault="005E3E96" w:rsidP="005E3E96">
      <w:pPr>
        <w:spacing w:line="240" w:lineRule="auto"/>
        <w:rPr>
          <w:rFonts w:ascii="Times New Roman" w:eastAsia="Times New Roman" w:hAnsi="Times New Roman" w:cs="Times New Roman"/>
          <w:lang w:val="en-PH" w:eastAsia="en-PH"/>
        </w:rPr>
      </w:pPr>
    </w:p>
    <w:p w14:paraId="41628B50"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Table C. Per HR action</w:t>
      </w:r>
    </w:p>
    <w:p w14:paraId="7C8742F1" w14:textId="77777777" w:rsidR="005E3E96" w:rsidRPr="006A53F7" w:rsidRDefault="005E3E96" w:rsidP="005E3E96">
      <w:pPr>
        <w:spacing w:line="240" w:lineRule="auto"/>
        <w:rPr>
          <w:rFonts w:ascii="Times New Roman" w:eastAsia="Times New Roman" w:hAnsi="Times New Roman" w:cs="Times New Roman"/>
          <w:lang w:val="en-PH" w:eastAsia="en-PH"/>
        </w:rPr>
      </w:pPr>
    </w:p>
    <w:tbl>
      <w:tblPr>
        <w:tblW w:w="0" w:type="auto"/>
        <w:tblCellMar>
          <w:top w:w="15" w:type="dxa"/>
          <w:left w:w="15" w:type="dxa"/>
          <w:bottom w:w="15" w:type="dxa"/>
          <w:right w:w="15" w:type="dxa"/>
        </w:tblCellMar>
        <w:tblLook w:val="04A0" w:firstRow="1" w:lastRow="0" w:firstColumn="1" w:lastColumn="0" w:noHBand="0" w:noVBand="1"/>
      </w:tblPr>
      <w:tblGrid>
        <w:gridCol w:w="2196"/>
        <w:gridCol w:w="1349"/>
        <w:gridCol w:w="775"/>
        <w:gridCol w:w="1007"/>
        <w:gridCol w:w="3947"/>
      </w:tblGrid>
      <w:tr w:rsidR="005E3E96" w:rsidRPr="006A53F7" w14:paraId="66445C5F"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20114F"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b/>
                <w:bCs/>
                <w:color w:val="000000"/>
                <w:lang w:val="en-PH" w:eastAsia="en-PH"/>
              </w:rPr>
              <w:t>Status of Employment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44E3FC"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b/>
                <w:bCs/>
                <w:color w:val="000000"/>
                <w:lang w:val="en-PH" w:eastAsia="en-PH"/>
              </w:rPr>
              <w:t>Authorized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EAFDC2"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b/>
                <w:bCs/>
                <w:color w:val="000000"/>
                <w:lang w:val="en-PH" w:eastAsia="en-PH"/>
              </w:rPr>
              <w:t>Filled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15D2B1"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b/>
                <w:bCs/>
                <w:color w:val="000000"/>
                <w:lang w:val="en-PH" w:eastAsia="en-PH"/>
              </w:rPr>
              <w:t>Unfilled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40BA9F" w14:textId="77777777" w:rsidR="005E3E96" w:rsidRPr="006A53F7" w:rsidRDefault="005E3E96" w:rsidP="005E3E96">
            <w:pPr>
              <w:spacing w:line="240" w:lineRule="auto"/>
              <w:jc w:val="center"/>
              <w:rPr>
                <w:rFonts w:ascii="Times New Roman" w:eastAsia="Times New Roman" w:hAnsi="Times New Roman" w:cs="Times New Roman"/>
                <w:lang w:val="en-PH" w:eastAsia="en-PH"/>
              </w:rPr>
            </w:pPr>
            <w:r w:rsidRPr="006A53F7">
              <w:rPr>
                <w:rFonts w:eastAsia="Times New Roman"/>
                <w:b/>
                <w:bCs/>
                <w:color w:val="000000"/>
                <w:lang w:val="en-PH" w:eastAsia="en-PH"/>
              </w:rPr>
              <w:t>Variance</w:t>
            </w:r>
          </w:p>
        </w:tc>
      </w:tr>
      <w:tr w:rsidR="005E3E96" w:rsidRPr="006A53F7" w14:paraId="6ADD0746"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989707"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Permanent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E6E4AC"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104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DF815D"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94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728F53"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F12205"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The variance includes the following HR actions:</w:t>
            </w:r>
          </w:p>
          <w:p w14:paraId="46B2DC81" w14:textId="77777777" w:rsidR="005E3E96" w:rsidRPr="006A53F7" w:rsidRDefault="005E3E96" w:rsidP="005E3E96">
            <w:pPr>
              <w:spacing w:line="240" w:lineRule="auto"/>
              <w:rPr>
                <w:rFonts w:ascii="Times New Roman" w:eastAsia="Times New Roman" w:hAnsi="Times New Roman" w:cs="Times New Roman"/>
                <w:lang w:val="en-PH" w:eastAsia="en-PH"/>
              </w:rPr>
            </w:pPr>
          </w:p>
          <w:tbl>
            <w:tblPr>
              <w:tblW w:w="0" w:type="auto"/>
              <w:tblCellMar>
                <w:top w:w="15" w:type="dxa"/>
                <w:left w:w="15" w:type="dxa"/>
                <w:bottom w:w="15" w:type="dxa"/>
                <w:right w:w="15" w:type="dxa"/>
              </w:tblCellMar>
              <w:tblLook w:val="04A0" w:firstRow="1" w:lastRow="0" w:firstColumn="1" w:lastColumn="0" w:noHBand="0" w:noVBand="1"/>
            </w:tblPr>
            <w:tblGrid>
              <w:gridCol w:w="384"/>
              <w:gridCol w:w="3353"/>
            </w:tblGrid>
            <w:tr w:rsidR="005E3E96" w:rsidRPr="006A53F7" w14:paraId="3E626F3A"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C20DAA"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931390"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For Written Examination</w:t>
                  </w:r>
                </w:p>
              </w:tc>
            </w:tr>
            <w:tr w:rsidR="005E3E96" w:rsidRPr="006A53F7" w14:paraId="4DC7CDD1"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51DDE8"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BB0552"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For HRMPSB Interview</w:t>
                  </w:r>
                </w:p>
              </w:tc>
            </w:tr>
            <w:tr w:rsidR="005E3E96" w:rsidRPr="006A53F7" w14:paraId="127B81B7"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2F9928"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1338ED"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HRMPSB Resolution for signature</w:t>
                  </w:r>
                </w:p>
              </w:tc>
            </w:tr>
            <w:tr w:rsidR="005E3E96" w:rsidRPr="006A53F7" w14:paraId="12C4EBF6"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2C0400"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1 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A24884"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Securing requirements</w:t>
                  </w:r>
                </w:p>
              </w:tc>
            </w:tr>
            <w:tr w:rsidR="005E3E96" w:rsidRPr="006A53F7" w14:paraId="27EBA107"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9D0772"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337A67"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Assumed position on 1 July 2022</w:t>
                  </w:r>
                </w:p>
              </w:tc>
            </w:tr>
          </w:tbl>
          <w:p w14:paraId="158D5AB1" w14:textId="77777777" w:rsidR="005E3E96" w:rsidRPr="006A53F7" w:rsidRDefault="005E3E96" w:rsidP="005E3E96">
            <w:pPr>
              <w:spacing w:line="240" w:lineRule="auto"/>
              <w:rPr>
                <w:rFonts w:ascii="Times New Roman" w:eastAsia="Times New Roman" w:hAnsi="Times New Roman" w:cs="Times New Roman"/>
                <w:lang w:val="en-PH" w:eastAsia="en-PH"/>
              </w:rPr>
            </w:pPr>
          </w:p>
        </w:tc>
      </w:tr>
      <w:tr w:rsidR="005E3E96" w:rsidRPr="006A53F7" w14:paraId="26BB0EBC" w14:textId="77777777" w:rsidTr="005E3E96">
        <w:trPr>
          <w:trHeight w:val="332"/>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6CF381"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Casual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C66512"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2028C5"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C9077A" w14:textId="77777777" w:rsidR="005E3E96" w:rsidRPr="006A53F7" w:rsidRDefault="005E3E96" w:rsidP="005E3E96">
            <w:pPr>
              <w:spacing w:line="240" w:lineRule="auto"/>
              <w:rPr>
                <w:rFonts w:ascii="Times New Roman" w:eastAsia="Times New Roman" w:hAnsi="Times New Roman" w:cs="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309B1B" w14:textId="77777777" w:rsidR="005E3E96" w:rsidRPr="006A53F7" w:rsidRDefault="005E3E96" w:rsidP="005E3E96">
            <w:pPr>
              <w:spacing w:line="240" w:lineRule="auto"/>
              <w:rPr>
                <w:rFonts w:ascii="Times New Roman" w:eastAsia="Times New Roman" w:hAnsi="Times New Roman" w:cs="Times New Roman"/>
                <w:lang w:val="en-PH" w:eastAsia="en-PH"/>
              </w:rPr>
            </w:pPr>
          </w:p>
        </w:tc>
      </w:tr>
      <w:tr w:rsidR="005E3E96" w:rsidRPr="006A53F7" w14:paraId="6FBA5E65"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31176A"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Contractual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5C248A"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463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F26C52"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452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324361"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4FC5EA"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The variance includes the following HR actions:</w:t>
            </w:r>
          </w:p>
          <w:p w14:paraId="6D689A1E" w14:textId="77777777" w:rsidR="005E3E96" w:rsidRPr="006A53F7" w:rsidRDefault="005E3E96" w:rsidP="005E3E96">
            <w:pPr>
              <w:spacing w:line="240" w:lineRule="auto"/>
              <w:rPr>
                <w:rFonts w:ascii="Times New Roman" w:eastAsia="Times New Roman" w:hAnsi="Times New Roman" w:cs="Times New Roman"/>
                <w:lang w:val="en-PH" w:eastAsia="en-PH"/>
              </w:rPr>
            </w:pPr>
          </w:p>
          <w:tbl>
            <w:tblPr>
              <w:tblW w:w="0" w:type="auto"/>
              <w:tblCellMar>
                <w:top w:w="15" w:type="dxa"/>
                <w:left w:w="15" w:type="dxa"/>
                <w:bottom w:w="15" w:type="dxa"/>
                <w:right w:w="15" w:type="dxa"/>
              </w:tblCellMar>
              <w:tblLook w:val="04A0" w:firstRow="1" w:lastRow="0" w:firstColumn="1" w:lastColumn="0" w:noHBand="0" w:noVBand="1"/>
            </w:tblPr>
            <w:tblGrid>
              <w:gridCol w:w="323"/>
              <w:gridCol w:w="2633"/>
            </w:tblGrid>
            <w:tr w:rsidR="005E3E96" w:rsidRPr="006A53F7" w14:paraId="7C8C0A84"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ED5154"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B55FB08"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For HRMPSB Resolution</w:t>
                  </w:r>
                </w:p>
              </w:tc>
            </w:tr>
            <w:tr w:rsidR="005E3E96" w:rsidRPr="006A53F7" w14:paraId="0F2DA8FD"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7C5507"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D6B6BF"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For Exam</w:t>
                  </w:r>
                </w:p>
              </w:tc>
            </w:tr>
            <w:tr w:rsidR="005E3E96" w:rsidRPr="006A53F7" w14:paraId="2AAABFCA"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B89F17"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BC237F"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For HRMPSB Interview</w:t>
                  </w:r>
                </w:p>
              </w:tc>
            </w:tr>
          </w:tbl>
          <w:p w14:paraId="738C7D93" w14:textId="77777777" w:rsidR="005E3E96" w:rsidRPr="006A53F7" w:rsidRDefault="005E3E96" w:rsidP="005E3E96">
            <w:pPr>
              <w:spacing w:line="240" w:lineRule="auto"/>
              <w:rPr>
                <w:rFonts w:ascii="Times New Roman" w:eastAsia="Times New Roman" w:hAnsi="Times New Roman" w:cs="Times New Roman"/>
                <w:lang w:val="en-PH" w:eastAsia="en-PH"/>
              </w:rPr>
            </w:pPr>
          </w:p>
        </w:tc>
      </w:tr>
      <w:tr w:rsidR="005E3E96" w:rsidRPr="006A53F7" w14:paraId="7DC9E9D9"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C43B68"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Contract of Service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27E238"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580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1E453A"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433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529577"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46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3CD670"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The variance includes the following HR actions:</w:t>
            </w:r>
          </w:p>
          <w:p w14:paraId="46FB6938" w14:textId="77777777" w:rsidR="005E3E96" w:rsidRPr="006A53F7" w:rsidRDefault="005E3E96" w:rsidP="005E3E96">
            <w:pPr>
              <w:spacing w:line="240" w:lineRule="auto"/>
              <w:rPr>
                <w:rFonts w:ascii="Times New Roman" w:eastAsia="Times New Roman" w:hAnsi="Times New Roman" w:cs="Times New Roman"/>
                <w:lang w:val="en-PH" w:eastAsia="en-PH"/>
              </w:rPr>
            </w:pPr>
          </w:p>
          <w:tbl>
            <w:tblPr>
              <w:tblW w:w="0" w:type="auto"/>
              <w:tblCellMar>
                <w:top w:w="15" w:type="dxa"/>
                <w:left w:w="15" w:type="dxa"/>
                <w:bottom w:w="15" w:type="dxa"/>
                <w:right w:w="15" w:type="dxa"/>
              </w:tblCellMar>
              <w:tblLook w:val="04A0" w:firstRow="1" w:lastRow="0" w:firstColumn="1" w:lastColumn="0" w:noHBand="0" w:noVBand="1"/>
            </w:tblPr>
            <w:tblGrid>
              <w:gridCol w:w="445"/>
              <w:gridCol w:w="2976"/>
            </w:tblGrid>
            <w:tr w:rsidR="005E3E96" w:rsidRPr="006A53F7" w14:paraId="7E58EDC1"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005DB7"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17FD30"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For posting</w:t>
                  </w:r>
                </w:p>
              </w:tc>
            </w:tr>
            <w:tr w:rsidR="005E3E96" w:rsidRPr="006A53F7" w14:paraId="585A1737"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A604B8"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0FC735"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For longlisting</w:t>
                  </w:r>
                </w:p>
              </w:tc>
            </w:tr>
            <w:tr w:rsidR="005E3E96" w:rsidRPr="006A53F7" w14:paraId="78731D1B"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398674"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E7D214"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For examination</w:t>
                  </w:r>
                </w:p>
              </w:tc>
            </w:tr>
            <w:tr w:rsidR="005E3E96" w:rsidRPr="006A53F7" w14:paraId="4F47B2B9"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309ED3"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49F4F9"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For HRMPSB Interview</w:t>
                  </w:r>
                </w:p>
              </w:tc>
            </w:tr>
            <w:tr w:rsidR="005E3E96" w:rsidRPr="006A53F7" w14:paraId="56B05877"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A03AE0"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FF6AC7"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For HRMPSB Resolution</w:t>
                  </w:r>
                </w:p>
              </w:tc>
            </w:tr>
            <w:tr w:rsidR="005E3E96" w:rsidRPr="006A53F7" w14:paraId="111BB4D5"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3EB6F4"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FD93CB"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Hired-securing requirements</w:t>
                  </w:r>
                </w:p>
              </w:tc>
            </w:tr>
            <w:tr w:rsidR="005E3E96" w:rsidRPr="006A53F7" w14:paraId="6B3FAAB9"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F4FA03"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282C7E"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PSB Reso for Signature</w:t>
                  </w:r>
                </w:p>
              </w:tc>
            </w:tr>
            <w:tr w:rsidR="005E3E96" w:rsidRPr="006A53F7" w14:paraId="31055689"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8569F4"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3E7B1A"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No Fund (SLP)</w:t>
                  </w:r>
                </w:p>
              </w:tc>
            </w:tr>
          </w:tbl>
          <w:p w14:paraId="34D58130" w14:textId="77777777" w:rsidR="005E3E96" w:rsidRPr="006A53F7" w:rsidRDefault="005E3E96" w:rsidP="005E3E96">
            <w:pPr>
              <w:spacing w:line="240" w:lineRule="auto"/>
              <w:rPr>
                <w:rFonts w:ascii="Times New Roman" w:eastAsia="Times New Roman" w:hAnsi="Times New Roman" w:cs="Times New Roman"/>
                <w:lang w:val="en-PH" w:eastAsia="en-PH"/>
              </w:rPr>
            </w:pPr>
          </w:p>
        </w:tc>
      </w:tr>
      <w:tr w:rsidR="005E3E96" w:rsidRPr="006A53F7" w14:paraId="7BF69DE6" w14:textId="77777777" w:rsidTr="005E3E96">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1D1AC0"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lastRenderedPageBreak/>
              <w:t>Job Order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980766"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56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60B11E"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55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77964D"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CDEFF8"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The variance includes the following HR actions:</w:t>
            </w:r>
          </w:p>
          <w:p w14:paraId="617C01CA" w14:textId="77777777" w:rsidR="005E3E96" w:rsidRPr="006A53F7" w:rsidRDefault="005E3E96" w:rsidP="005E3E96">
            <w:pPr>
              <w:spacing w:line="240" w:lineRule="auto"/>
              <w:rPr>
                <w:rFonts w:ascii="Times New Roman" w:eastAsia="Times New Roman" w:hAnsi="Times New Roman" w:cs="Times New Roman"/>
                <w:lang w:val="en-PH" w:eastAsia="en-PH"/>
              </w:rPr>
            </w:pPr>
          </w:p>
          <w:tbl>
            <w:tblPr>
              <w:tblW w:w="0" w:type="auto"/>
              <w:tblCellMar>
                <w:top w:w="15" w:type="dxa"/>
                <w:left w:w="15" w:type="dxa"/>
                <w:bottom w:w="15" w:type="dxa"/>
                <w:right w:w="15" w:type="dxa"/>
              </w:tblCellMar>
              <w:tblLook w:val="04A0" w:firstRow="1" w:lastRow="0" w:firstColumn="1" w:lastColumn="0" w:noHBand="0" w:noVBand="1"/>
            </w:tblPr>
            <w:tblGrid>
              <w:gridCol w:w="323"/>
              <w:gridCol w:w="3414"/>
            </w:tblGrid>
            <w:tr w:rsidR="005E3E96" w:rsidRPr="006A53F7" w14:paraId="2549C44B" w14:textId="777777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5D9698"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673ADB"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For HRMPSB Resolution (vice Binoclod)</w:t>
                  </w:r>
                </w:p>
              </w:tc>
            </w:tr>
          </w:tbl>
          <w:p w14:paraId="19FC37D5" w14:textId="77777777" w:rsidR="005E3E96" w:rsidRPr="006A53F7" w:rsidRDefault="005E3E96" w:rsidP="005E3E96">
            <w:pPr>
              <w:spacing w:line="240" w:lineRule="auto"/>
              <w:rPr>
                <w:rFonts w:ascii="Times New Roman" w:eastAsia="Times New Roman" w:hAnsi="Times New Roman" w:cs="Times New Roman"/>
                <w:lang w:val="en-PH" w:eastAsia="en-PH"/>
              </w:rPr>
            </w:pPr>
          </w:p>
        </w:tc>
      </w:tr>
      <w:tr w:rsidR="005E3E96" w:rsidRPr="006A53F7" w14:paraId="0D1186FA" w14:textId="77777777" w:rsidTr="005E3E96">
        <w:trPr>
          <w:trHeight w:val="7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14713F"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Total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495EEC"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1,206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CB3FD4"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1,137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5C756B"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68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1155B3" w14:textId="77777777" w:rsidR="005E3E96" w:rsidRPr="006A53F7" w:rsidRDefault="005E3E96" w:rsidP="005E3E96">
            <w:pPr>
              <w:spacing w:line="240" w:lineRule="auto"/>
              <w:rPr>
                <w:rFonts w:ascii="Times New Roman" w:eastAsia="Times New Roman" w:hAnsi="Times New Roman" w:cs="Times New Roman"/>
                <w:lang w:val="en-PH" w:eastAsia="en-PH"/>
              </w:rPr>
            </w:pPr>
          </w:p>
        </w:tc>
      </w:tr>
    </w:tbl>
    <w:p w14:paraId="7473DB37" w14:textId="77777777" w:rsidR="005E3E96" w:rsidRPr="006A53F7" w:rsidRDefault="005E3E96" w:rsidP="005E3E96">
      <w:pPr>
        <w:spacing w:line="240" w:lineRule="auto"/>
        <w:rPr>
          <w:rFonts w:ascii="Times New Roman" w:eastAsia="Times New Roman" w:hAnsi="Times New Roman" w:cs="Times New Roman"/>
          <w:lang w:val="en-PH" w:eastAsia="en-PH"/>
        </w:rPr>
      </w:pPr>
    </w:p>
    <w:p w14:paraId="1BADC83D"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It can be inferred from above table that nineteen (19) Human Resource Merit Promotion and HRMPSB Resource Merit Promotion and Selection Board (HRMPSB) Resolutions are to be prepared by the HRMPSB Secretariat.</w:t>
      </w:r>
    </w:p>
    <w:p w14:paraId="74E79E5B" w14:textId="77777777" w:rsidR="005E3E96" w:rsidRPr="006A53F7" w:rsidRDefault="005E3E96" w:rsidP="005E3E96">
      <w:pPr>
        <w:spacing w:line="240" w:lineRule="auto"/>
        <w:rPr>
          <w:rFonts w:ascii="Times New Roman" w:eastAsia="Times New Roman" w:hAnsi="Times New Roman" w:cs="Times New Roman"/>
          <w:lang w:val="en-PH" w:eastAsia="en-PH"/>
        </w:rPr>
      </w:pPr>
      <w:r w:rsidRPr="006A53F7">
        <w:rPr>
          <w:rFonts w:eastAsia="Times New Roman"/>
          <w:color w:val="000000"/>
          <w:lang w:val="en-PH" w:eastAsia="en-PH"/>
        </w:rPr>
        <w:t> </w:t>
      </w:r>
    </w:p>
    <w:p w14:paraId="74B2ECDC"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b/>
          <w:bCs/>
          <w:color w:val="000000"/>
          <w:lang w:val="en-PH" w:eastAsia="en-PH"/>
        </w:rPr>
        <w:t>HR Learning and Development</w:t>
      </w:r>
    </w:p>
    <w:p w14:paraId="0F35B208" w14:textId="77777777" w:rsidR="005E3E96" w:rsidRPr="006A53F7" w:rsidRDefault="005E3E96" w:rsidP="005E3E96">
      <w:pPr>
        <w:spacing w:line="240" w:lineRule="auto"/>
        <w:rPr>
          <w:rFonts w:ascii="Times New Roman" w:eastAsia="Times New Roman" w:hAnsi="Times New Roman" w:cs="Times New Roman"/>
          <w:lang w:val="en-PH" w:eastAsia="en-PH"/>
        </w:rPr>
      </w:pPr>
    </w:p>
    <w:p w14:paraId="19FB84FF"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The Learning and Development Section conducted various Learning and Development Interventions for the second quarter of CY 2022 such as the Technical Writing Training, 3 sessions of Orientation of Newly Hired Employees via Google Meet, Virtual Training on Gender Sensitivity and assisted in the conduct and facilitated the CY 2022 General Administration and Support Services Performance Review and Evaluation Workshop and Capacity Building.</w:t>
      </w:r>
    </w:p>
    <w:p w14:paraId="6129E4EE" w14:textId="77777777" w:rsidR="005E3E96" w:rsidRPr="006A53F7" w:rsidRDefault="005E3E96" w:rsidP="005E3E96">
      <w:pPr>
        <w:spacing w:line="240" w:lineRule="auto"/>
        <w:rPr>
          <w:rFonts w:ascii="Times New Roman" w:eastAsia="Times New Roman" w:hAnsi="Times New Roman" w:cs="Times New Roman"/>
          <w:lang w:val="en-PH" w:eastAsia="en-PH"/>
        </w:rPr>
      </w:pPr>
    </w:p>
    <w:p w14:paraId="1F406471"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As part of the Learning Needs Assessment and the Learning and Development Plan for CY 2020 – 2022, the Technical Writing Training was conducted last April 22, 2022 via face-to-face at the DSWD FO2 Conference Hall and was participated by 22 2</w:t>
      </w:r>
      <w:r w:rsidRPr="006A53F7">
        <w:rPr>
          <w:rFonts w:eastAsia="Times New Roman"/>
          <w:color w:val="000000"/>
          <w:vertAlign w:val="superscript"/>
          <w:lang w:val="en-PH" w:eastAsia="en-PH"/>
        </w:rPr>
        <w:t>nd</w:t>
      </w:r>
      <w:r w:rsidRPr="006A53F7">
        <w:rPr>
          <w:rFonts w:eastAsia="Times New Roman"/>
          <w:color w:val="000000"/>
          <w:lang w:val="en-PH" w:eastAsia="en-PH"/>
        </w:rPr>
        <w:t xml:space="preserve"> level technical staff, 16 of which were female and 6 were male. The activity aimed to enhance the technical writing skills of staff in the preparation of reports, presentations, documentations, proposal, case study, etc. so as to save time and effort in preparing such.</w:t>
      </w:r>
    </w:p>
    <w:p w14:paraId="0459FEB3" w14:textId="77777777" w:rsidR="005E3E96" w:rsidRPr="006A53F7" w:rsidRDefault="005E3E96" w:rsidP="005E3E96">
      <w:pPr>
        <w:spacing w:line="240" w:lineRule="auto"/>
        <w:rPr>
          <w:rFonts w:ascii="Times New Roman" w:eastAsia="Times New Roman" w:hAnsi="Times New Roman" w:cs="Times New Roman"/>
          <w:lang w:val="en-PH" w:eastAsia="en-PH"/>
        </w:rPr>
      </w:pPr>
    </w:p>
    <w:p w14:paraId="0B8CBC9F"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The Orientation Program for New Employees via Google Meet was conducted monthly for the 2</w:t>
      </w:r>
      <w:r w:rsidRPr="006A53F7">
        <w:rPr>
          <w:rFonts w:eastAsia="Times New Roman"/>
          <w:color w:val="000000"/>
          <w:vertAlign w:val="superscript"/>
          <w:lang w:val="en-PH" w:eastAsia="en-PH"/>
        </w:rPr>
        <w:t>nd</w:t>
      </w:r>
      <w:r w:rsidRPr="006A53F7">
        <w:rPr>
          <w:rFonts w:eastAsia="Times New Roman"/>
          <w:color w:val="000000"/>
          <w:lang w:val="en-PH" w:eastAsia="en-PH"/>
        </w:rPr>
        <w:t xml:space="preserve"> quarter, specifically last 28-29 April 2022, 26-27 May 2022 and 30 June to 1 July 2022. It served as part of the Onboarding Program in welcoming and integrating new employees into the Deaprtment. For April 2022, there were 14 participants, 9 were female and 5 were male. The May 2022 batch was composed of 94 newly hired staff, 64 were female and 30 were male while the June 2022 batch has a total of 31 new staff with 16 females and 15 males.</w:t>
      </w:r>
    </w:p>
    <w:p w14:paraId="312CDDF4" w14:textId="77777777" w:rsidR="005E3E96" w:rsidRPr="006A53F7" w:rsidRDefault="005E3E96" w:rsidP="005E3E96">
      <w:pPr>
        <w:spacing w:line="240" w:lineRule="auto"/>
        <w:rPr>
          <w:rFonts w:ascii="Times New Roman" w:eastAsia="Times New Roman" w:hAnsi="Times New Roman" w:cs="Times New Roman"/>
          <w:lang w:val="en-PH" w:eastAsia="en-PH"/>
        </w:rPr>
      </w:pPr>
    </w:p>
    <w:p w14:paraId="214BAA57"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The Gender Sensitivity Training (GST) as a foundational training requirement raises awareness of the employees and touches on their personal biases, political and gender issues, engaging both their minds and hearts. To address this, the Virtual Training on Gender Sensitivity was conducted last 1-2 June 2022 via Google Meet platform. A total of 31 participants attended the said training with 21 female and 10 male new employees.</w:t>
      </w:r>
    </w:p>
    <w:p w14:paraId="6ED29721" w14:textId="77777777" w:rsidR="005E3E96" w:rsidRPr="006A53F7" w:rsidRDefault="005E3E96" w:rsidP="005E3E96">
      <w:pPr>
        <w:spacing w:line="240" w:lineRule="auto"/>
        <w:rPr>
          <w:rFonts w:ascii="Times New Roman" w:eastAsia="Times New Roman" w:hAnsi="Times New Roman" w:cs="Times New Roman"/>
          <w:lang w:val="en-PH" w:eastAsia="en-PH"/>
        </w:rPr>
      </w:pPr>
    </w:p>
    <w:p w14:paraId="1FFCD0CA" w14:textId="77777777" w:rsidR="005E3E96" w:rsidRPr="006A53F7" w:rsidRDefault="005E3E96" w:rsidP="005E3E96">
      <w:pPr>
        <w:spacing w:line="240" w:lineRule="auto"/>
        <w:jc w:val="both"/>
        <w:rPr>
          <w:rFonts w:ascii="Times New Roman" w:eastAsia="Times New Roman" w:hAnsi="Times New Roman" w:cs="Times New Roman"/>
          <w:lang w:val="en-PH" w:eastAsia="en-PH"/>
        </w:rPr>
      </w:pPr>
      <w:r w:rsidRPr="006A53F7">
        <w:rPr>
          <w:rFonts w:eastAsia="Times New Roman"/>
          <w:color w:val="000000"/>
          <w:lang w:val="en-PH" w:eastAsia="en-PH"/>
        </w:rPr>
        <w:t>The section also assisted in the preparation, facilitation and post-activity logistics of the CY 2022 General Administration and Support Services (GASS) Performance Review and Evaluation Workshop and Capacity Building. It was participated by 92 staff from GASS, wherein 54 of which were females and 38 were males. The activity cascaded ISO processes under GASS to participants, recalibrated automation initiatives after presentation of each and shared possible areas for replication as result of the benchmarking on Project Powers.</w:t>
      </w:r>
    </w:p>
    <w:p w14:paraId="40E29C57" w14:textId="77777777" w:rsidR="005E3E96" w:rsidRDefault="005E3E96" w:rsidP="005E3E96">
      <w:pPr>
        <w:jc w:val="both"/>
        <w:rPr>
          <w:color w:val="000000" w:themeColor="text1"/>
        </w:rPr>
      </w:pPr>
    </w:p>
    <w:p w14:paraId="50948FF8" w14:textId="77777777" w:rsidR="007B290F" w:rsidRDefault="007B290F" w:rsidP="007B290F">
      <w:pPr>
        <w:tabs>
          <w:tab w:val="left" w:pos="993"/>
        </w:tabs>
        <w:spacing w:line="240" w:lineRule="auto"/>
        <w:jc w:val="both"/>
        <w:rPr>
          <w:rFonts w:eastAsia="Times New Roman"/>
          <w:b/>
          <w:color w:val="0E101A"/>
          <w:szCs w:val="24"/>
          <w:lang w:val="en-PH" w:eastAsia="en-PH"/>
        </w:rPr>
      </w:pPr>
      <w:r w:rsidRPr="007B290F">
        <w:rPr>
          <w:rFonts w:eastAsia="Times New Roman"/>
          <w:b/>
          <w:color w:val="0E101A"/>
          <w:szCs w:val="24"/>
          <w:lang w:val="en-PH" w:eastAsia="en-PH"/>
        </w:rPr>
        <w:t>Administrative Services</w:t>
      </w:r>
      <w:r>
        <w:rPr>
          <w:rFonts w:eastAsia="Times New Roman"/>
          <w:b/>
          <w:color w:val="0E101A"/>
          <w:szCs w:val="24"/>
          <w:lang w:val="en-PH" w:eastAsia="en-PH"/>
        </w:rPr>
        <w:t xml:space="preserve"> </w:t>
      </w:r>
    </w:p>
    <w:p w14:paraId="6E63F92E" w14:textId="77777777" w:rsidR="007B290F" w:rsidRDefault="007B290F" w:rsidP="007B290F">
      <w:pPr>
        <w:tabs>
          <w:tab w:val="left" w:pos="993"/>
        </w:tabs>
        <w:spacing w:line="240" w:lineRule="auto"/>
        <w:jc w:val="both"/>
        <w:rPr>
          <w:rFonts w:eastAsia="Times New Roman"/>
          <w:b/>
          <w:color w:val="0E101A"/>
          <w:szCs w:val="24"/>
          <w:lang w:val="en-PH" w:eastAsia="en-PH"/>
        </w:rPr>
      </w:pPr>
    </w:p>
    <w:p w14:paraId="0C5B3C9F" w14:textId="77777777" w:rsidR="007B290F" w:rsidRPr="007B290F" w:rsidRDefault="007B290F" w:rsidP="00516AD6">
      <w:pPr>
        <w:numPr>
          <w:ilvl w:val="0"/>
          <w:numId w:val="32"/>
        </w:numPr>
        <w:spacing w:line="240" w:lineRule="auto"/>
        <w:ind w:left="360"/>
        <w:textAlignment w:val="baseline"/>
        <w:rPr>
          <w:rFonts w:eastAsia="Times New Roman"/>
          <w:b/>
          <w:bCs/>
          <w:color w:val="000000"/>
          <w:u w:val="single"/>
          <w:lang w:val="en-PH" w:eastAsia="en-PH"/>
        </w:rPr>
      </w:pPr>
      <w:r w:rsidRPr="007B290F">
        <w:rPr>
          <w:rFonts w:eastAsia="Times New Roman"/>
          <w:b/>
          <w:bCs/>
          <w:color w:val="000000"/>
          <w:u w:val="single"/>
          <w:lang w:val="en-PH" w:eastAsia="en-PH"/>
        </w:rPr>
        <w:t>PROCUREMENT  SECTION</w:t>
      </w:r>
    </w:p>
    <w:p w14:paraId="23314A40" w14:textId="77777777" w:rsidR="007B290F" w:rsidRPr="007B290F" w:rsidRDefault="007B290F" w:rsidP="007B290F">
      <w:pPr>
        <w:spacing w:line="240" w:lineRule="auto"/>
        <w:rPr>
          <w:rFonts w:ascii="Times New Roman" w:eastAsia="Times New Roman" w:hAnsi="Times New Roman" w:cs="Times New Roman"/>
          <w:sz w:val="24"/>
          <w:szCs w:val="24"/>
          <w:lang w:val="en-PH" w:eastAsia="en-PH"/>
        </w:rPr>
      </w:pPr>
      <w:r w:rsidRPr="007B290F">
        <w:rPr>
          <w:rFonts w:eastAsia="Times New Roman"/>
          <w:b/>
          <w:bCs/>
          <w:i/>
          <w:iCs/>
          <w:color w:val="000000"/>
          <w:lang w:val="en-PH" w:eastAsia="en-PH"/>
        </w:rPr>
        <w:t> </w:t>
      </w:r>
    </w:p>
    <w:tbl>
      <w:tblPr>
        <w:tblW w:w="0" w:type="auto"/>
        <w:tblCellMar>
          <w:top w:w="15" w:type="dxa"/>
          <w:left w:w="15" w:type="dxa"/>
          <w:bottom w:w="15" w:type="dxa"/>
          <w:right w:w="15" w:type="dxa"/>
        </w:tblCellMar>
        <w:tblLook w:val="04A0" w:firstRow="1" w:lastRow="0" w:firstColumn="1" w:lastColumn="0" w:noHBand="0" w:noVBand="1"/>
      </w:tblPr>
      <w:tblGrid>
        <w:gridCol w:w="2088"/>
        <w:gridCol w:w="889"/>
        <w:gridCol w:w="2003"/>
        <w:gridCol w:w="2324"/>
        <w:gridCol w:w="1970"/>
      </w:tblGrid>
      <w:tr w:rsidR="007B290F" w:rsidRPr="007B290F" w14:paraId="74982FC7" w14:textId="77777777" w:rsidTr="007B290F">
        <w:trPr>
          <w:trHeight w:val="9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FA2C5A"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b/>
                <w:bCs/>
                <w:color w:val="000000"/>
                <w:lang w:val="en-PH" w:eastAsia="en-PH"/>
              </w:rPr>
              <w:t>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44DE3" w14:textId="77777777" w:rsidR="007B290F" w:rsidRPr="007B290F" w:rsidRDefault="007B290F" w:rsidP="007B290F">
            <w:pPr>
              <w:spacing w:line="240" w:lineRule="auto"/>
              <w:rPr>
                <w:rFonts w:ascii="Times New Roman" w:eastAsia="Times New Roman" w:hAnsi="Times New Roman" w:cs="Times New Roman"/>
                <w:sz w:val="24"/>
                <w:szCs w:val="24"/>
                <w:lang w:val="en-PH" w:eastAsia="en-PH"/>
              </w:rPr>
            </w:pPr>
          </w:p>
          <w:p w14:paraId="7AACEB75"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b/>
                <w:bCs/>
                <w:color w:val="000000"/>
                <w:lang w:val="en-PH" w:eastAsia="en-PH"/>
              </w:rPr>
              <w:t>Target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D1DA38"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b/>
                <w:bCs/>
                <w:color w:val="000000"/>
                <w:lang w:val="en-PH" w:eastAsia="en-PH"/>
              </w:rPr>
              <w:t>Actual Accomplishment</w:t>
            </w:r>
          </w:p>
          <w:p w14:paraId="4BAD73C7"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b/>
                <w:bCs/>
                <w:color w:val="000000"/>
                <w:lang w:val="en-PH" w:eastAsia="en-PH"/>
              </w:rPr>
              <w:t>(Physical)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F868A"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b/>
                <w:bCs/>
                <w:color w:val="000000"/>
                <w:lang w:val="en-PH" w:eastAsia="en-PH"/>
              </w:rPr>
              <w:t>% of  Accomplishment</w:t>
            </w:r>
          </w:p>
          <w:p w14:paraId="18192F88" w14:textId="77777777" w:rsidR="007B290F" w:rsidRPr="007B290F" w:rsidRDefault="007B290F" w:rsidP="007B290F">
            <w:pPr>
              <w:spacing w:line="240" w:lineRule="auto"/>
              <w:rPr>
                <w:rFonts w:ascii="Times New Roman" w:eastAsia="Times New Roman" w:hAnsi="Times New Roman" w:cs="Times New Roman"/>
                <w:sz w:val="24"/>
                <w:szCs w:val="24"/>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412E41"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b/>
                <w:bCs/>
                <w:color w:val="000000"/>
                <w:lang w:val="en-PH" w:eastAsia="en-PH"/>
              </w:rPr>
              <w:t>Remarks</w:t>
            </w:r>
          </w:p>
        </w:tc>
      </w:tr>
      <w:tr w:rsidR="007B290F" w:rsidRPr="007B290F" w14:paraId="240D4A26" w14:textId="77777777" w:rsidTr="007B29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DE007" w14:textId="77777777" w:rsidR="007B290F" w:rsidRPr="007B290F" w:rsidRDefault="007B290F" w:rsidP="00516AD6">
            <w:pPr>
              <w:numPr>
                <w:ilvl w:val="0"/>
                <w:numId w:val="33"/>
              </w:numPr>
              <w:spacing w:after="120" w:line="240" w:lineRule="auto"/>
              <w:ind w:left="417"/>
              <w:textAlignment w:val="baseline"/>
              <w:rPr>
                <w:rFonts w:eastAsia="Times New Roman"/>
                <w:i/>
                <w:iCs/>
                <w:color w:val="000000"/>
                <w:lang w:val="en-PH" w:eastAsia="en-PH"/>
              </w:rPr>
            </w:pPr>
            <w:r w:rsidRPr="007B290F">
              <w:rPr>
                <w:rFonts w:eastAsia="Times New Roman"/>
                <w:color w:val="000000"/>
                <w:lang w:val="en-PH" w:eastAsia="en-PH"/>
              </w:rPr>
              <w:t>Purchase Requests reviewed and duly verified if included in the PPMP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383466"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3F0E50"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641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14E40F"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128.20%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DFADA"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Verified / with comments for enhancements</w:t>
            </w:r>
          </w:p>
        </w:tc>
      </w:tr>
      <w:tr w:rsidR="007B290F" w:rsidRPr="007B290F" w14:paraId="3D0635DB" w14:textId="77777777" w:rsidTr="007B290F">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E25C30" w14:textId="77777777" w:rsidR="007B290F" w:rsidRPr="007B290F" w:rsidRDefault="007B290F" w:rsidP="00516AD6">
            <w:pPr>
              <w:numPr>
                <w:ilvl w:val="0"/>
                <w:numId w:val="34"/>
              </w:numPr>
              <w:spacing w:after="120" w:line="240" w:lineRule="auto"/>
              <w:ind w:left="417"/>
              <w:textAlignment w:val="baseline"/>
              <w:rPr>
                <w:rFonts w:eastAsia="Times New Roman"/>
                <w:i/>
                <w:iCs/>
                <w:color w:val="000000"/>
                <w:lang w:val="en-PH" w:eastAsia="en-PH"/>
              </w:rPr>
            </w:pPr>
            <w:r w:rsidRPr="007B290F">
              <w:rPr>
                <w:rFonts w:eastAsia="Times New Roman"/>
                <w:color w:val="000000"/>
                <w:lang w:val="en-PH" w:eastAsia="en-PH"/>
              </w:rPr>
              <w:t>Prepared Canvass/ Request for Quotation for supplies and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F762C0"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413E6"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367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CC4895"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104.85%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09476E"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For Canvassed</w:t>
            </w:r>
          </w:p>
        </w:tc>
      </w:tr>
      <w:tr w:rsidR="007B290F" w:rsidRPr="007B290F" w14:paraId="1C5AB7AC" w14:textId="77777777" w:rsidTr="007B290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4CE5CE" w14:textId="77777777" w:rsidR="007B290F" w:rsidRPr="007B290F" w:rsidRDefault="007B290F" w:rsidP="00516AD6">
            <w:pPr>
              <w:numPr>
                <w:ilvl w:val="0"/>
                <w:numId w:val="35"/>
              </w:numPr>
              <w:spacing w:after="120" w:line="240" w:lineRule="auto"/>
              <w:ind w:left="417"/>
              <w:textAlignment w:val="baseline"/>
              <w:rPr>
                <w:rFonts w:eastAsia="Times New Roman"/>
                <w:i/>
                <w:iCs/>
                <w:color w:val="000000"/>
                <w:lang w:val="en-PH" w:eastAsia="en-PH"/>
              </w:rPr>
            </w:pPr>
            <w:r w:rsidRPr="007B290F">
              <w:rPr>
                <w:rFonts w:eastAsia="Times New Roman"/>
                <w:color w:val="000000"/>
                <w:lang w:val="en-PH" w:eastAsia="en-PH"/>
              </w:rPr>
              <w:t>Prepared Abstract of Canvass and routed to BAC for awarding and 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18E21B"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A71096"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322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33F7BF"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B44F80"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Signed/Approved</w:t>
            </w:r>
          </w:p>
        </w:tc>
      </w:tr>
      <w:tr w:rsidR="007B290F" w:rsidRPr="007B290F" w14:paraId="3066A611" w14:textId="77777777" w:rsidTr="007B290F">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44F09D" w14:textId="77777777" w:rsidR="007B290F" w:rsidRPr="007B290F" w:rsidRDefault="007B290F" w:rsidP="00516AD6">
            <w:pPr>
              <w:numPr>
                <w:ilvl w:val="0"/>
                <w:numId w:val="36"/>
              </w:numPr>
              <w:spacing w:after="120" w:line="240" w:lineRule="auto"/>
              <w:ind w:left="417"/>
              <w:textAlignment w:val="baseline"/>
              <w:rPr>
                <w:rFonts w:eastAsia="Times New Roman"/>
                <w:color w:val="000000"/>
                <w:lang w:val="en-PH" w:eastAsia="en-PH"/>
              </w:rPr>
            </w:pPr>
            <w:r w:rsidRPr="007B290F">
              <w:rPr>
                <w:rFonts w:eastAsia="Times New Roman"/>
                <w:color w:val="000000"/>
                <w:lang w:val="en-PH" w:eastAsia="en-PH"/>
              </w:rPr>
              <w:t>Purchased Order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CF9A8A"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68825E"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407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5E08B8"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815A01"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Approved/routed to PSAMS for serving of PO</w:t>
            </w:r>
          </w:p>
        </w:tc>
      </w:tr>
      <w:tr w:rsidR="007B290F" w:rsidRPr="007B290F" w14:paraId="7BD36680" w14:textId="77777777" w:rsidTr="007B290F">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D9B83" w14:textId="77777777" w:rsidR="007B290F" w:rsidRPr="007B290F" w:rsidRDefault="007B290F" w:rsidP="00516AD6">
            <w:pPr>
              <w:numPr>
                <w:ilvl w:val="0"/>
                <w:numId w:val="37"/>
              </w:numPr>
              <w:spacing w:after="120" w:line="240" w:lineRule="auto"/>
              <w:ind w:left="417"/>
              <w:textAlignment w:val="baseline"/>
              <w:rPr>
                <w:rFonts w:eastAsia="Times New Roman"/>
                <w:color w:val="000000"/>
                <w:lang w:val="en-PH" w:eastAsia="en-PH"/>
              </w:rPr>
            </w:pPr>
            <w:r w:rsidRPr="007B290F">
              <w:rPr>
                <w:rFonts w:eastAsia="Times New Roman"/>
                <w:color w:val="000000"/>
                <w:lang w:val="en-PH" w:eastAsia="en-PH"/>
              </w:rPr>
              <w:t>Agency Procurement Request (APR)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3D96A"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F895D8"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994D40"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353232"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Submitted/ routed to PSAMS for serving at DBM-PS</w:t>
            </w:r>
          </w:p>
        </w:tc>
      </w:tr>
      <w:tr w:rsidR="007B290F" w:rsidRPr="007B290F" w14:paraId="0AD3F8F9" w14:textId="77777777" w:rsidTr="007B290F">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10417F" w14:textId="77777777" w:rsidR="007B290F" w:rsidRPr="007B290F" w:rsidRDefault="007B290F" w:rsidP="00516AD6">
            <w:pPr>
              <w:numPr>
                <w:ilvl w:val="0"/>
                <w:numId w:val="38"/>
              </w:numPr>
              <w:spacing w:after="120" w:line="240" w:lineRule="auto"/>
              <w:ind w:left="417"/>
              <w:textAlignment w:val="baseline"/>
              <w:rPr>
                <w:rFonts w:eastAsia="Times New Roman"/>
                <w:i/>
                <w:iCs/>
                <w:color w:val="000000"/>
                <w:lang w:val="en-PH" w:eastAsia="en-PH"/>
              </w:rPr>
            </w:pPr>
            <w:r w:rsidRPr="007B290F">
              <w:rPr>
                <w:rFonts w:eastAsia="Times New Roman"/>
                <w:color w:val="000000"/>
                <w:lang w:val="en-PH" w:eastAsia="en-PH"/>
              </w:rPr>
              <w:t>Prepared BAC Resolutions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AD8EDD"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E7326"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613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A461DB"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87.57%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4ADB83"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Signed/Approved</w:t>
            </w:r>
          </w:p>
        </w:tc>
      </w:tr>
      <w:tr w:rsidR="007B290F" w:rsidRPr="007B290F" w14:paraId="54E985EC" w14:textId="77777777" w:rsidTr="007B290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32DC5" w14:textId="77777777" w:rsidR="007B290F" w:rsidRPr="007B290F" w:rsidRDefault="007B290F" w:rsidP="00516AD6">
            <w:pPr>
              <w:numPr>
                <w:ilvl w:val="0"/>
                <w:numId w:val="39"/>
              </w:numPr>
              <w:spacing w:after="120" w:line="240" w:lineRule="auto"/>
              <w:ind w:left="417"/>
              <w:textAlignment w:val="baseline"/>
              <w:rPr>
                <w:rFonts w:eastAsia="Times New Roman"/>
                <w:color w:val="000000"/>
                <w:lang w:val="en-PH" w:eastAsia="en-PH"/>
              </w:rPr>
            </w:pPr>
            <w:r w:rsidRPr="007B290F">
              <w:rPr>
                <w:rFonts w:eastAsia="Times New Roman"/>
                <w:color w:val="000000"/>
                <w:lang w:val="en-PH" w:eastAsia="en-PH"/>
              </w:rPr>
              <w:t>Posted Invitation to Bid/Request for Quotation/Bid Bulletins at PhilGEPS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F92B7"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C6081"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F1B25"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C10BAB"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Posted</w:t>
            </w:r>
          </w:p>
        </w:tc>
      </w:tr>
      <w:tr w:rsidR="007B290F" w:rsidRPr="007B290F" w14:paraId="2401FCE2" w14:textId="77777777" w:rsidTr="007B290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390AB" w14:textId="77777777" w:rsidR="007B290F" w:rsidRPr="007B290F" w:rsidRDefault="007B290F" w:rsidP="00516AD6">
            <w:pPr>
              <w:numPr>
                <w:ilvl w:val="0"/>
                <w:numId w:val="40"/>
              </w:numPr>
              <w:spacing w:after="120" w:line="240" w:lineRule="auto"/>
              <w:ind w:left="417"/>
              <w:textAlignment w:val="baseline"/>
              <w:rPr>
                <w:rFonts w:eastAsia="Times New Roman"/>
                <w:color w:val="000000"/>
                <w:lang w:val="en-PH" w:eastAsia="en-PH"/>
              </w:rPr>
            </w:pPr>
            <w:r w:rsidRPr="007B290F">
              <w:rPr>
                <w:rFonts w:eastAsia="Times New Roman"/>
                <w:color w:val="000000"/>
                <w:lang w:val="en-PH" w:eastAsia="en-PH"/>
              </w:rPr>
              <w:t>Conduct of Public Bidding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1B31B"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ANA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0FB7B"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C9473"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A7AF6F"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4 bidding activities conducted</w:t>
            </w:r>
          </w:p>
        </w:tc>
      </w:tr>
    </w:tbl>
    <w:p w14:paraId="7B4F2F7B" w14:textId="77777777" w:rsidR="007B290F" w:rsidRPr="007B290F" w:rsidRDefault="007B290F" w:rsidP="007B290F">
      <w:pPr>
        <w:spacing w:line="240" w:lineRule="auto"/>
        <w:rPr>
          <w:rFonts w:ascii="Times New Roman" w:eastAsia="Times New Roman" w:hAnsi="Times New Roman" w:cs="Times New Roman"/>
          <w:sz w:val="24"/>
          <w:szCs w:val="24"/>
          <w:lang w:val="en-PH" w:eastAsia="en-PH"/>
        </w:rPr>
      </w:pPr>
    </w:p>
    <w:p w14:paraId="27DD8988" w14:textId="77777777" w:rsidR="007B290F" w:rsidRPr="007B290F" w:rsidRDefault="007B290F" w:rsidP="00516AD6">
      <w:pPr>
        <w:numPr>
          <w:ilvl w:val="0"/>
          <w:numId w:val="41"/>
        </w:numPr>
        <w:spacing w:line="240" w:lineRule="auto"/>
        <w:ind w:left="360"/>
        <w:textAlignment w:val="baseline"/>
        <w:rPr>
          <w:rFonts w:eastAsia="Times New Roman"/>
          <w:b/>
          <w:bCs/>
          <w:color w:val="000000"/>
          <w:u w:val="single"/>
          <w:lang w:val="en-PH" w:eastAsia="en-PH"/>
        </w:rPr>
      </w:pPr>
      <w:r w:rsidRPr="007B290F">
        <w:rPr>
          <w:rFonts w:eastAsia="Times New Roman"/>
          <w:b/>
          <w:bCs/>
          <w:color w:val="000000"/>
          <w:u w:val="single"/>
          <w:lang w:val="en-PH" w:eastAsia="en-PH"/>
        </w:rPr>
        <w:t>PROPERTY  AND SUPPLY SECTION</w:t>
      </w:r>
    </w:p>
    <w:p w14:paraId="78F1E604" w14:textId="77777777" w:rsidR="007B290F" w:rsidRPr="007B290F" w:rsidRDefault="007B290F" w:rsidP="007B290F">
      <w:pPr>
        <w:spacing w:line="240" w:lineRule="auto"/>
        <w:rPr>
          <w:rFonts w:ascii="Times New Roman" w:eastAsia="Times New Roman" w:hAnsi="Times New Roman" w:cs="Times New Roman"/>
          <w:sz w:val="24"/>
          <w:szCs w:val="24"/>
          <w:lang w:val="en-PH" w:eastAsia="en-PH"/>
        </w:rPr>
      </w:pPr>
    </w:p>
    <w:tbl>
      <w:tblPr>
        <w:tblW w:w="0" w:type="auto"/>
        <w:tblCellMar>
          <w:top w:w="15" w:type="dxa"/>
          <w:left w:w="15" w:type="dxa"/>
          <w:bottom w:w="15" w:type="dxa"/>
          <w:right w:w="15" w:type="dxa"/>
        </w:tblCellMar>
        <w:tblLook w:val="04A0" w:firstRow="1" w:lastRow="0" w:firstColumn="1" w:lastColumn="0" w:noHBand="0" w:noVBand="1"/>
      </w:tblPr>
      <w:tblGrid>
        <w:gridCol w:w="3397"/>
        <w:gridCol w:w="5877"/>
      </w:tblGrid>
      <w:tr w:rsidR="007B290F" w:rsidRPr="007B290F" w14:paraId="68AFCDEF" w14:textId="77777777" w:rsidTr="00023229">
        <w:trPr>
          <w:trHeight w:val="350"/>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22FD2" w14:textId="77777777" w:rsidR="007B290F" w:rsidRPr="007B290F" w:rsidRDefault="007B290F" w:rsidP="007B290F">
            <w:pPr>
              <w:spacing w:line="240" w:lineRule="auto"/>
              <w:jc w:val="both"/>
              <w:rPr>
                <w:rFonts w:ascii="Times New Roman" w:eastAsia="Times New Roman" w:hAnsi="Times New Roman" w:cs="Times New Roman"/>
                <w:sz w:val="24"/>
                <w:szCs w:val="24"/>
                <w:lang w:val="en-PH" w:eastAsia="en-PH"/>
              </w:rPr>
            </w:pPr>
            <w:r w:rsidRPr="007B290F">
              <w:rPr>
                <w:rFonts w:eastAsia="Times New Roman"/>
                <w:b/>
                <w:bCs/>
                <w:color w:val="000000"/>
                <w:lang w:val="en-PH" w:eastAsia="en-PH"/>
              </w:rPr>
              <w:t xml:space="preserve">                   MAJOR TASKS</w:t>
            </w: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17B9C"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b/>
                <w:bCs/>
                <w:color w:val="000000"/>
                <w:lang w:val="en-PH" w:eastAsia="en-PH"/>
              </w:rPr>
              <w:t>ACTIVITIES UNDERTAKEN/OUTPUTS</w:t>
            </w:r>
          </w:p>
        </w:tc>
      </w:tr>
      <w:tr w:rsidR="007B290F" w:rsidRPr="007B290F" w14:paraId="2D50D88B" w14:textId="77777777" w:rsidTr="00023229">
        <w:trPr>
          <w:trHeight w:val="611"/>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C47DB" w14:textId="77777777" w:rsidR="007B290F" w:rsidRPr="007B290F" w:rsidRDefault="007B290F" w:rsidP="00516AD6">
            <w:pPr>
              <w:numPr>
                <w:ilvl w:val="0"/>
                <w:numId w:val="42"/>
              </w:numPr>
              <w:spacing w:after="120" w:line="240" w:lineRule="auto"/>
              <w:ind w:left="427"/>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Provision of Regular Supplies and Materials and Catering Services</w:t>
            </w: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D63F8" w14:textId="77777777" w:rsidR="007B290F" w:rsidRPr="007B290F" w:rsidRDefault="007B290F" w:rsidP="00516AD6">
            <w:pPr>
              <w:numPr>
                <w:ilvl w:val="0"/>
                <w:numId w:val="43"/>
              </w:numPr>
              <w:spacing w:after="120" w:line="240" w:lineRule="auto"/>
              <w:ind w:left="360"/>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 xml:space="preserve">Facilitated </w:t>
            </w:r>
            <w:r w:rsidRPr="007B290F">
              <w:rPr>
                <w:rFonts w:eastAsia="Times New Roman"/>
                <w:b/>
                <w:bCs/>
                <w:color w:val="000000"/>
                <w:sz w:val="20"/>
                <w:szCs w:val="20"/>
                <w:lang w:val="en-PH" w:eastAsia="en-PH"/>
              </w:rPr>
              <w:t>209 Approved Purchase Orders</w:t>
            </w:r>
            <w:r w:rsidRPr="007B290F">
              <w:rPr>
                <w:rFonts w:eastAsia="Times New Roman"/>
                <w:color w:val="000000"/>
                <w:sz w:val="20"/>
                <w:szCs w:val="20"/>
                <w:lang w:val="en-PH" w:eastAsia="en-PH"/>
              </w:rPr>
              <w:t xml:space="preserve"> for supplies &amp; materials (158 delivered and paid, 48 awaiting delivery, 3 waived/cancelled)</w:t>
            </w:r>
          </w:p>
        </w:tc>
      </w:tr>
      <w:tr w:rsidR="007B290F" w:rsidRPr="007B290F" w14:paraId="19F60D33" w14:textId="77777777" w:rsidTr="00023229">
        <w:trPr>
          <w:trHeight w:val="809"/>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00FDC" w14:textId="77777777" w:rsidR="007B290F" w:rsidRPr="007B290F" w:rsidRDefault="007B290F" w:rsidP="00516AD6">
            <w:pPr>
              <w:numPr>
                <w:ilvl w:val="0"/>
                <w:numId w:val="44"/>
              </w:numPr>
              <w:spacing w:after="120" w:line="240" w:lineRule="auto"/>
              <w:ind w:left="427"/>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lastRenderedPageBreak/>
              <w:t>Coordination with Service Providers for Trainings, Seminars and Meeting venues</w:t>
            </w: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D29B6" w14:textId="77777777" w:rsidR="007B290F" w:rsidRPr="007B290F" w:rsidRDefault="007B290F" w:rsidP="00516AD6">
            <w:pPr>
              <w:numPr>
                <w:ilvl w:val="0"/>
                <w:numId w:val="45"/>
              </w:numPr>
              <w:spacing w:after="120" w:line="240" w:lineRule="auto"/>
              <w:ind w:left="360"/>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 xml:space="preserve">Facilitated </w:t>
            </w:r>
            <w:r w:rsidRPr="007B290F">
              <w:rPr>
                <w:rFonts w:eastAsia="Times New Roman"/>
                <w:b/>
                <w:bCs/>
                <w:color w:val="000000"/>
                <w:sz w:val="20"/>
                <w:szCs w:val="20"/>
                <w:lang w:val="en-PH" w:eastAsia="en-PH"/>
              </w:rPr>
              <w:t>164 Approved Purchase Orders</w:t>
            </w:r>
            <w:r w:rsidRPr="007B290F">
              <w:rPr>
                <w:rFonts w:eastAsia="Times New Roman"/>
                <w:color w:val="000000"/>
                <w:sz w:val="20"/>
                <w:szCs w:val="20"/>
                <w:lang w:val="en-PH" w:eastAsia="en-PH"/>
              </w:rPr>
              <w:t xml:space="preserve"> for catering services with 106 conducted and paid.</w:t>
            </w:r>
          </w:p>
        </w:tc>
      </w:tr>
      <w:tr w:rsidR="007B290F" w:rsidRPr="007B290F" w14:paraId="089432B1" w14:textId="77777777" w:rsidTr="00023229">
        <w:trPr>
          <w:trHeight w:val="710"/>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52E74" w14:textId="77777777" w:rsidR="007B290F" w:rsidRPr="007B290F" w:rsidRDefault="007B290F" w:rsidP="00516AD6">
            <w:pPr>
              <w:numPr>
                <w:ilvl w:val="0"/>
                <w:numId w:val="46"/>
              </w:numPr>
              <w:spacing w:after="120" w:line="240" w:lineRule="auto"/>
              <w:ind w:left="427"/>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Payment to Suppliers for Regular Supplies</w:t>
            </w: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3D236" w14:textId="77777777" w:rsidR="007B290F" w:rsidRPr="007B290F" w:rsidRDefault="007B290F" w:rsidP="00516AD6">
            <w:pPr>
              <w:numPr>
                <w:ilvl w:val="0"/>
                <w:numId w:val="47"/>
              </w:numPr>
              <w:spacing w:after="120" w:line="240" w:lineRule="auto"/>
              <w:ind w:left="360"/>
              <w:jc w:val="both"/>
              <w:textAlignment w:val="baseline"/>
              <w:rPr>
                <w:rFonts w:eastAsia="Times New Roman"/>
                <w:color w:val="000000"/>
                <w:sz w:val="20"/>
                <w:szCs w:val="20"/>
                <w:lang w:val="en-PH" w:eastAsia="en-PH"/>
              </w:rPr>
            </w:pPr>
            <w:r w:rsidRPr="007B290F">
              <w:rPr>
                <w:rFonts w:eastAsia="Times New Roman"/>
                <w:b/>
                <w:bCs/>
                <w:color w:val="000000"/>
                <w:sz w:val="20"/>
                <w:szCs w:val="20"/>
                <w:lang w:val="en-PH" w:eastAsia="en-PH"/>
              </w:rPr>
              <w:t>330 Purchase Orders</w:t>
            </w:r>
            <w:r w:rsidRPr="007B290F">
              <w:rPr>
                <w:rFonts w:eastAsia="Times New Roman"/>
                <w:color w:val="000000"/>
                <w:sz w:val="20"/>
                <w:szCs w:val="20"/>
                <w:lang w:val="en-PH" w:eastAsia="en-PH"/>
              </w:rPr>
              <w:t xml:space="preserve"> – Prepared  Disbursement Vouchers (DVs) for processing of payment to suppliers (goods and services)</w:t>
            </w:r>
          </w:p>
        </w:tc>
      </w:tr>
      <w:tr w:rsidR="007B290F" w:rsidRPr="007B290F" w14:paraId="4B142529" w14:textId="77777777" w:rsidTr="00023229">
        <w:trPr>
          <w:trHeight w:val="710"/>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9784F" w14:textId="77777777" w:rsidR="007B290F" w:rsidRPr="007B290F" w:rsidRDefault="007B290F" w:rsidP="00516AD6">
            <w:pPr>
              <w:numPr>
                <w:ilvl w:val="0"/>
                <w:numId w:val="48"/>
              </w:numPr>
              <w:spacing w:after="120" w:line="240" w:lineRule="auto"/>
              <w:ind w:left="427"/>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Issuance of Supplies and Materials to end-users</w:t>
            </w: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93788" w14:textId="77777777" w:rsidR="007B290F" w:rsidRPr="007B290F" w:rsidRDefault="007B290F" w:rsidP="00516AD6">
            <w:pPr>
              <w:numPr>
                <w:ilvl w:val="0"/>
                <w:numId w:val="49"/>
              </w:numPr>
              <w:spacing w:after="120" w:line="240" w:lineRule="auto"/>
              <w:ind w:left="360"/>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Facilitated</w:t>
            </w:r>
            <w:r w:rsidRPr="007B290F">
              <w:rPr>
                <w:rFonts w:eastAsia="Times New Roman"/>
                <w:b/>
                <w:bCs/>
                <w:color w:val="000000"/>
                <w:sz w:val="20"/>
                <w:szCs w:val="20"/>
                <w:lang w:val="en-PH" w:eastAsia="en-PH"/>
              </w:rPr>
              <w:t xml:space="preserve"> 312 RIS </w:t>
            </w:r>
            <w:r w:rsidRPr="007B290F">
              <w:rPr>
                <w:rFonts w:eastAsia="Times New Roman"/>
                <w:color w:val="000000"/>
                <w:sz w:val="20"/>
                <w:szCs w:val="20"/>
                <w:lang w:val="en-PH" w:eastAsia="en-PH"/>
              </w:rPr>
              <w:t>– Received and issued supplies and materials per specification of end-users.</w:t>
            </w:r>
          </w:p>
        </w:tc>
      </w:tr>
      <w:tr w:rsidR="007B290F" w:rsidRPr="007B290F" w14:paraId="51E91499" w14:textId="77777777" w:rsidTr="00023229">
        <w:trPr>
          <w:trHeight w:val="710"/>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27E0B" w14:textId="77777777" w:rsidR="007B290F" w:rsidRPr="007B290F" w:rsidRDefault="007B290F" w:rsidP="00516AD6">
            <w:pPr>
              <w:numPr>
                <w:ilvl w:val="0"/>
                <w:numId w:val="50"/>
              </w:numPr>
              <w:spacing w:after="120" w:line="240" w:lineRule="auto"/>
              <w:ind w:left="427"/>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Provision of Regular Supplies and Materials and Catering Services</w:t>
            </w: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A5845" w14:textId="77777777" w:rsidR="007B290F" w:rsidRPr="007B290F" w:rsidRDefault="007B290F" w:rsidP="00516AD6">
            <w:pPr>
              <w:numPr>
                <w:ilvl w:val="0"/>
                <w:numId w:val="51"/>
              </w:numPr>
              <w:spacing w:after="120" w:line="240" w:lineRule="auto"/>
              <w:ind w:left="360"/>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 xml:space="preserve">Facilitated </w:t>
            </w:r>
            <w:r w:rsidRPr="007B290F">
              <w:rPr>
                <w:rFonts w:eastAsia="Times New Roman"/>
                <w:b/>
                <w:bCs/>
                <w:color w:val="000000"/>
                <w:sz w:val="20"/>
                <w:szCs w:val="20"/>
                <w:lang w:val="en-PH" w:eastAsia="en-PH"/>
              </w:rPr>
              <w:t>209 Approved Purchase Orders</w:t>
            </w:r>
            <w:r w:rsidRPr="007B290F">
              <w:rPr>
                <w:rFonts w:eastAsia="Times New Roman"/>
                <w:color w:val="000000"/>
                <w:sz w:val="20"/>
                <w:szCs w:val="20"/>
                <w:lang w:val="en-PH" w:eastAsia="en-PH"/>
              </w:rPr>
              <w:t xml:space="preserve"> for supplies &amp; materials (158 delivered and paid, 48 awaiting delivery, 3 waived/cancelled)</w:t>
            </w:r>
          </w:p>
        </w:tc>
      </w:tr>
      <w:tr w:rsidR="007B290F" w:rsidRPr="007B290F" w14:paraId="311F6155" w14:textId="77777777" w:rsidTr="00023229">
        <w:trPr>
          <w:trHeight w:val="710"/>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820FF" w14:textId="77777777" w:rsidR="007B290F" w:rsidRPr="007B290F" w:rsidRDefault="007B290F" w:rsidP="00516AD6">
            <w:pPr>
              <w:numPr>
                <w:ilvl w:val="0"/>
                <w:numId w:val="52"/>
              </w:numPr>
              <w:spacing w:after="120" w:line="240" w:lineRule="auto"/>
              <w:ind w:left="427"/>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Physical Count of Property, Plant and Equipment</w:t>
            </w: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DAAA" w14:textId="77777777" w:rsidR="007B290F" w:rsidRPr="007B290F" w:rsidRDefault="007B290F" w:rsidP="00516AD6">
            <w:pPr>
              <w:numPr>
                <w:ilvl w:val="0"/>
                <w:numId w:val="53"/>
              </w:numPr>
              <w:spacing w:after="120" w:line="240" w:lineRule="auto"/>
              <w:ind w:left="409"/>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Conducted an Interim Physical Count of PPE and Semi-Expendable Properties to update the actual location and accountable person for each item in the RPCPPE and RPCI.</w:t>
            </w:r>
          </w:p>
        </w:tc>
      </w:tr>
      <w:tr w:rsidR="007B290F" w:rsidRPr="007B290F" w14:paraId="78FDBD72" w14:textId="77777777" w:rsidTr="00023229">
        <w:trPr>
          <w:trHeight w:val="710"/>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5CEDA" w14:textId="77777777" w:rsidR="007B290F" w:rsidRPr="007B290F" w:rsidRDefault="007B290F" w:rsidP="00516AD6">
            <w:pPr>
              <w:numPr>
                <w:ilvl w:val="0"/>
                <w:numId w:val="54"/>
              </w:numPr>
              <w:spacing w:after="120" w:line="240" w:lineRule="auto"/>
              <w:ind w:left="427"/>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Disposal of Unserviceable Property, Plant and Equipment</w:t>
            </w: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D33EC" w14:textId="77777777" w:rsidR="007B290F" w:rsidRPr="007B290F" w:rsidRDefault="007B290F" w:rsidP="00516AD6">
            <w:pPr>
              <w:numPr>
                <w:ilvl w:val="0"/>
                <w:numId w:val="55"/>
              </w:numPr>
              <w:spacing w:after="120" w:line="240" w:lineRule="auto"/>
              <w:ind w:left="409"/>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Conducted its 1st Semester Disposal of Unserviceable Properties with 22 Air Conditioning Units awarded to JT Fermin Junkshop.</w:t>
            </w:r>
          </w:p>
        </w:tc>
      </w:tr>
      <w:tr w:rsidR="007B290F" w:rsidRPr="007B290F" w14:paraId="75EB5C3E" w14:textId="77777777" w:rsidTr="00023229">
        <w:trPr>
          <w:trHeight w:val="710"/>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9C104" w14:textId="77777777" w:rsidR="007B290F" w:rsidRPr="007B290F" w:rsidRDefault="007B290F" w:rsidP="00516AD6">
            <w:pPr>
              <w:numPr>
                <w:ilvl w:val="0"/>
                <w:numId w:val="56"/>
              </w:numPr>
              <w:spacing w:after="120" w:line="240" w:lineRule="auto"/>
              <w:ind w:left="427"/>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Distribution/Issuance of Office Equipment with Property Accountability Receipt (PAR), Inventory Custodian Slip (ICS), and Undertaking thru PREMIS</w:t>
            </w: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E8102" w14:textId="77777777" w:rsidR="007B290F" w:rsidRPr="007B290F" w:rsidRDefault="007B290F" w:rsidP="007B290F">
            <w:pPr>
              <w:spacing w:line="240" w:lineRule="auto"/>
              <w:jc w:val="both"/>
              <w:rPr>
                <w:rFonts w:ascii="Times New Roman" w:eastAsia="Times New Roman" w:hAnsi="Times New Roman" w:cs="Times New Roman"/>
                <w:sz w:val="24"/>
                <w:szCs w:val="24"/>
                <w:lang w:val="en-PH" w:eastAsia="en-PH"/>
              </w:rPr>
            </w:pPr>
            <w:r w:rsidRPr="007B290F">
              <w:rPr>
                <w:rFonts w:eastAsia="Times New Roman"/>
                <w:color w:val="000000"/>
                <w:lang w:val="en-PH" w:eastAsia="en-PH"/>
              </w:rPr>
              <w:t>Prepared/facilitated the following:</w:t>
            </w:r>
          </w:p>
          <w:p w14:paraId="35B7F94D" w14:textId="77777777" w:rsidR="007B290F" w:rsidRPr="007B290F" w:rsidRDefault="007B290F" w:rsidP="00516AD6">
            <w:pPr>
              <w:numPr>
                <w:ilvl w:val="0"/>
                <w:numId w:val="57"/>
              </w:numPr>
              <w:spacing w:line="240" w:lineRule="auto"/>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Forty Five (45) Property Acknowledgment Receipt (PAR)</w:t>
            </w:r>
          </w:p>
          <w:p w14:paraId="6DE3D510" w14:textId="77777777" w:rsidR="007B290F" w:rsidRPr="007B290F" w:rsidRDefault="007B290F" w:rsidP="00516AD6">
            <w:pPr>
              <w:numPr>
                <w:ilvl w:val="0"/>
                <w:numId w:val="57"/>
              </w:numPr>
              <w:spacing w:line="240" w:lineRule="auto"/>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Two Hundred Fifty Nine  (259) Inventory Custodian Slip (ICS)</w:t>
            </w:r>
          </w:p>
          <w:p w14:paraId="5871BBB3" w14:textId="77777777" w:rsidR="007B290F" w:rsidRPr="007B290F" w:rsidRDefault="007B290F" w:rsidP="00516AD6">
            <w:pPr>
              <w:numPr>
                <w:ilvl w:val="0"/>
                <w:numId w:val="57"/>
              </w:numPr>
              <w:spacing w:line="240" w:lineRule="auto"/>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Nineteen (19) Gate Pass</w:t>
            </w:r>
          </w:p>
          <w:p w14:paraId="1E3AA9A8" w14:textId="77777777" w:rsidR="007B290F" w:rsidRPr="007B290F" w:rsidRDefault="007B290F" w:rsidP="00516AD6">
            <w:pPr>
              <w:numPr>
                <w:ilvl w:val="0"/>
                <w:numId w:val="57"/>
              </w:numPr>
              <w:spacing w:line="240" w:lineRule="auto"/>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Fifty One (51)Sticker Pass</w:t>
            </w:r>
          </w:p>
          <w:p w14:paraId="4B8B4D86" w14:textId="77777777" w:rsidR="007B290F" w:rsidRPr="007B290F" w:rsidRDefault="007B290F" w:rsidP="00516AD6">
            <w:pPr>
              <w:numPr>
                <w:ilvl w:val="0"/>
                <w:numId w:val="57"/>
              </w:numPr>
              <w:spacing w:line="240" w:lineRule="auto"/>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Four Hundred Eighty One (481) FETS Request</w:t>
            </w:r>
          </w:p>
          <w:p w14:paraId="3A29F010" w14:textId="77777777" w:rsidR="007B290F" w:rsidRPr="007B290F" w:rsidRDefault="007B290F" w:rsidP="00516AD6">
            <w:pPr>
              <w:numPr>
                <w:ilvl w:val="0"/>
                <w:numId w:val="57"/>
              </w:numPr>
              <w:spacing w:after="120" w:line="240" w:lineRule="auto"/>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Two Hundred Sixteen (216) issuances of newly purchased properties</w:t>
            </w:r>
          </w:p>
        </w:tc>
      </w:tr>
      <w:tr w:rsidR="007B290F" w:rsidRPr="007B290F" w14:paraId="49632C5C" w14:textId="77777777" w:rsidTr="00023229">
        <w:trPr>
          <w:trHeight w:val="710"/>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EACD5" w14:textId="77777777" w:rsidR="007B290F" w:rsidRPr="007B290F" w:rsidRDefault="007B290F" w:rsidP="00516AD6">
            <w:pPr>
              <w:numPr>
                <w:ilvl w:val="0"/>
                <w:numId w:val="58"/>
              </w:numPr>
              <w:spacing w:after="120" w:line="240" w:lineRule="auto"/>
              <w:ind w:left="427"/>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Processing for the Land Titling</w:t>
            </w: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6063" w14:textId="77777777" w:rsidR="007B290F" w:rsidRPr="007B290F" w:rsidRDefault="007B290F" w:rsidP="00516AD6">
            <w:pPr>
              <w:numPr>
                <w:ilvl w:val="0"/>
                <w:numId w:val="59"/>
              </w:numPr>
              <w:spacing w:line="240" w:lineRule="auto"/>
              <w:ind w:left="409"/>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Submitted project proposal to Central Office for the funding of the titling activities of the 2 lots in CVRRCY and POO Cagayan.</w:t>
            </w:r>
          </w:p>
          <w:p w14:paraId="17739D38" w14:textId="77777777" w:rsidR="007B290F" w:rsidRPr="007B290F" w:rsidRDefault="007B290F" w:rsidP="00516AD6">
            <w:pPr>
              <w:numPr>
                <w:ilvl w:val="0"/>
                <w:numId w:val="59"/>
              </w:numPr>
              <w:spacing w:after="120" w:line="240" w:lineRule="auto"/>
              <w:ind w:left="409"/>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Secured e-copy of Certificate of Title of the 2 lots.</w:t>
            </w:r>
          </w:p>
        </w:tc>
      </w:tr>
    </w:tbl>
    <w:p w14:paraId="7CA9960B" w14:textId="77777777" w:rsidR="007B290F" w:rsidRPr="007B290F" w:rsidRDefault="007B290F" w:rsidP="007B290F">
      <w:pPr>
        <w:spacing w:line="240" w:lineRule="auto"/>
        <w:rPr>
          <w:rFonts w:ascii="Times New Roman" w:eastAsia="Times New Roman" w:hAnsi="Times New Roman" w:cs="Times New Roman"/>
          <w:sz w:val="24"/>
          <w:szCs w:val="24"/>
          <w:lang w:val="en-PH" w:eastAsia="en-PH"/>
        </w:rPr>
      </w:pPr>
      <w:r w:rsidRPr="007B290F">
        <w:rPr>
          <w:rFonts w:ascii="Times New Roman" w:eastAsia="Times New Roman" w:hAnsi="Times New Roman" w:cs="Times New Roman"/>
          <w:sz w:val="24"/>
          <w:szCs w:val="24"/>
          <w:lang w:val="en-PH" w:eastAsia="en-PH"/>
        </w:rPr>
        <w:br/>
      </w:r>
      <w:r w:rsidRPr="007B290F">
        <w:rPr>
          <w:rFonts w:ascii="Times New Roman" w:eastAsia="Times New Roman" w:hAnsi="Times New Roman" w:cs="Times New Roman"/>
          <w:sz w:val="24"/>
          <w:szCs w:val="24"/>
          <w:lang w:val="en-PH" w:eastAsia="en-PH"/>
        </w:rPr>
        <w:br/>
      </w:r>
    </w:p>
    <w:p w14:paraId="10EE0EEC" w14:textId="77777777" w:rsidR="007B290F" w:rsidRPr="007B290F" w:rsidRDefault="007B290F" w:rsidP="00516AD6">
      <w:pPr>
        <w:numPr>
          <w:ilvl w:val="0"/>
          <w:numId w:val="60"/>
        </w:numPr>
        <w:spacing w:line="240" w:lineRule="auto"/>
        <w:ind w:left="360"/>
        <w:jc w:val="both"/>
        <w:textAlignment w:val="baseline"/>
        <w:rPr>
          <w:rFonts w:eastAsia="Times New Roman"/>
          <w:b/>
          <w:bCs/>
          <w:color w:val="000000"/>
          <w:u w:val="single"/>
          <w:lang w:val="en-PH" w:eastAsia="en-PH"/>
        </w:rPr>
      </w:pPr>
      <w:r w:rsidRPr="007B290F">
        <w:rPr>
          <w:rFonts w:eastAsia="Times New Roman"/>
          <w:b/>
          <w:bCs/>
          <w:color w:val="000000"/>
          <w:u w:val="single"/>
          <w:lang w:val="en-PH" w:eastAsia="en-PH"/>
        </w:rPr>
        <w:t>RECORDS  AND  ARCHIVES  MANAGEMENT SECTION</w:t>
      </w:r>
    </w:p>
    <w:p w14:paraId="17BF2F01" w14:textId="77777777" w:rsidR="007B290F" w:rsidRPr="007B290F" w:rsidRDefault="007B290F" w:rsidP="007B290F">
      <w:pPr>
        <w:spacing w:line="240" w:lineRule="auto"/>
        <w:rPr>
          <w:rFonts w:ascii="Times New Roman" w:eastAsia="Times New Roman" w:hAnsi="Times New Roman" w:cs="Times New Roman"/>
          <w:sz w:val="24"/>
          <w:szCs w:val="24"/>
          <w:lang w:val="en-PH" w:eastAsia="en-PH"/>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56"/>
        <w:gridCol w:w="6018"/>
      </w:tblGrid>
      <w:tr w:rsidR="007B290F" w:rsidRPr="007B290F" w14:paraId="540DC4BE" w14:textId="77777777" w:rsidTr="00023229">
        <w:trPr>
          <w:trHeight w:val="350"/>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B06D7" w14:textId="77777777" w:rsidR="007B290F" w:rsidRPr="007B290F" w:rsidRDefault="007B290F" w:rsidP="007B290F">
            <w:pPr>
              <w:spacing w:line="240" w:lineRule="auto"/>
              <w:jc w:val="both"/>
              <w:rPr>
                <w:rFonts w:ascii="Times New Roman" w:eastAsia="Times New Roman" w:hAnsi="Times New Roman" w:cs="Times New Roman"/>
                <w:sz w:val="24"/>
                <w:szCs w:val="24"/>
                <w:lang w:val="en-PH" w:eastAsia="en-PH"/>
              </w:rPr>
            </w:pPr>
            <w:r w:rsidRPr="007B290F">
              <w:rPr>
                <w:rFonts w:eastAsia="Times New Roman"/>
                <w:b/>
                <w:bCs/>
                <w:color w:val="000000"/>
                <w:lang w:val="en-PH" w:eastAsia="en-PH"/>
              </w:rPr>
              <w:t xml:space="preserve">                   MAJOR TASKS</w:t>
            </w:r>
          </w:p>
        </w:tc>
        <w:tc>
          <w:tcPr>
            <w:tcW w:w="6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238E7" w14:textId="77777777" w:rsidR="007B290F" w:rsidRPr="007B290F" w:rsidRDefault="007B290F" w:rsidP="007B290F">
            <w:pPr>
              <w:spacing w:line="240" w:lineRule="auto"/>
              <w:jc w:val="both"/>
              <w:rPr>
                <w:rFonts w:ascii="Times New Roman" w:eastAsia="Times New Roman" w:hAnsi="Times New Roman" w:cs="Times New Roman"/>
                <w:sz w:val="24"/>
                <w:szCs w:val="24"/>
                <w:lang w:val="en-PH" w:eastAsia="en-PH"/>
              </w:rPr>
            </w:pPr>
            <w:r w:rsidRPr="007B290F">
              <w:rPr>
                <w:rFonts w:eastAsia="Times New Roman"/>
                <w:b/>
                <w:bCs/>
                <w:color w:val="000000"/>
                <w:lang w:val="en-PH" w:eastAsia="en-PH"/>
              </w:rPr>
              <w:t xml:space="preserve">         ACTIVITIES UNDERTAKEN/OUTPUTS</w:t>
            </w:r>
          </w:p>
        </w:tc>
      </w:tr>
      <w:tr w:rsidR="007B290F" w:rsidRPr="007B290F" w14:paraId="34D5CC95" w14:textId="77777777" w:rsidTr="00023229">
        <w:trPr>
          <w:trHeight w:val="350"/>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18A29" w14:textId="77777777" w:rsidR="007B290F" w:rsidRPr="007B290F" w:rsidRDefault="007B290F" w:rsidP="00516AD6">
            <w:pPr>
              <w:numPr>
                <w:ilvl w:val="0"/>
                <w:numId w:val="61"/>
              </w:numPr>
              <w:spacing w:after="120" w:line="240" w:lineRule="auto"/>
              <w:ind w:left="427"/>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Freedom of Information (FOI)</w:t>
            </w:r>
          </w:p>
        </w:tc>
        <w:tc>
          <w:tcPr>
            <w:tcW w:w="6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E1845" w14:textId="77777777" w:rsidR="007B290F" w:rsidRPr="007B290F" w:rsidRDefault="007B290F" w:rsidP="00516AD6">
            <w:pPr>
              <w:numPr>
                <w:ilvl w:val="0"/>
                <w:numId w:val="62"/>
              </w:numPr>
              <w:spacing w:after="120" w:line="240" w:lineRule="auto"/>
              <w:ind w:left="409"/>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A request for data on number of individuals who availed of the Balik-Probinsya Program was received thru email by the Records Officer as the FOI Receiving Officer. However, the requesting party failed to revert back the FOI Data Request Form as required and the latter have not received any feedback from the requesting party since the request was received on May 18, 2022 until the submission of the FOI 2nd Quarter Report on June 27, 2022 to the Central Office.</w:t>
            </w:r>
          </w:p>
        </w:tc>
      </w:tr>
      <w:tr w:rsidR="007B290F" w:rsidRPr="007B290F" w14:paraId="4635BE63" w14:textId="77777777" w:rsidTr="00023229">
        <w:trPr>
          <w:trHeight w:val="611"/>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64ED8" w14:textId="77777777" w:rsidR="007B290F" w:rsidRPr="007B290F" w:rsidRDefault="007B290F" w:rsidP="00516AD6">
            <w:pPr>
              <w:numPr>
                <w:ilvl w:val="0"/>
                <w:numId w:val="63"/>
              </w:numPr>
              <w:spacing w:after="120" w:line="240" w:lineRule="auto"/>
              <w:ind w:left="427"/>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Maintenance  and  Management  of  Records</w:t>
            </w:r>
          </w:p>
        </w:tc>
        <w:tc>
          <w:tcPr>
            <w:tcW w:w="6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B66BF" w14:textId="77777777" w:rsidR="007B290F" w:rsidRPr="007B290F" w:rsidRDefault="007B290F" w:rsidP="00516AD6">
            <w:pPr>
              <w:numPr>
                <w:ilvl w:val="0"/>
                <w:numId w:val="64"/>
              </w:numPr>
              <w:spacing w:line="240" w:lineRule="auto"/>
              <w:ind w:left="409"/>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Facilitated participation of Administrative Assistants to </w:t>
            </w:r>
          </w:p>
          <w:p w14:paraId="770182A7" w14:textId="77777777" w:rsidR="007B290F" w:rsidRPr="007B290F" w:rsidRDefault="007B290F" w:rsidP="00516AD6">
            <w:pPr>
              <w:numPr>
                <w:ilvl w:val="0"/>
                <w:numId w:val="64"/>
              </w:numPr>
              <w:spacing w:line="240" w:lineRule="auto"/>
              <w:ind w:left="409"/>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Provided technical assistance on preparation of requests for archiving and disposal of records</w:t>
            </w:r>
          </w:p>
          <w:p w14:paraId="0FFE35A2" w14:textId="77777777" w:rsidR="007B290F" w:rsidRPr="007B290F" w:rsidRDefault="007B290F" w:rsidP="00516AD6">
            <w:pPr>
              <w:numPr>
                <w:ilvl w:val="0"/>
                <w:numId w:val="64"/>
              </w:numPr>
              <w:spacing w:line="240" w:lineRule="auto"/>
              <w:ind w:left="409"/>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Facilitated request for archiving of records from various programs, sections</w:t>
            </w:r>
          </w:p>
          <w:p w14:paraId="265C5029" w14:textId="77777777" w:rsidR="007B290F" w:rsidRPr="007B290F" w:rsidRDefault="007B290F" w:rsidP="00516AD6">
            <w:pPr>
              <w:numPr>
                <w:ilvl w:val="0"/>
                <w:numId w:val="64"/>
              </w:numPr>
              <w:spacing w:line="240" w:lineRule="auto"/>
              <w:ind w:left="409"/>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Facilitated dissemination of 170 Regional Special Orders</w:t>
            </w:r>
          </w:p>
          <w:p w14:paraId="3E7BF33C" w14:textId="77777777" w:rsidR="007B290F" w:rsidRPr="007B290F" w:rsidRDefault="007B290F" w:rsidP="00516AD6">
            <w:pPr>
              <w:numPr>
                <w:ilvl w:val="0"/>
                <w:numId w:val="64"/>
              </w:numPr>
              <w:spacing w:line="240" w:lineRule="auto"/>
              <w:ind w:left="409"/>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Processed/facilitated  1,697 Travel Orders</w:t>
            </w:r>
          </w:p>
          <w:p w14:paraId="342F236F" w14:textId="77777777" w:rsidR="007B290F" w:rsidRPr="007B290F" w:rsidRDefault="007B290F" w:rsidP="00516AD6">
            <w:pPr>
              <w:numPr>
                <w:ilvl w:val="0"/>
                <w:numId w:val="64"/>
              </w:numPr>
              <w:spacing w:line="240" w:lineRule="auto"/>
              <w:ind w:left="409"/>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Facilitated 4, 431 incoming communications (email and standard) </w:t>
            </w:r>
          </w:p>
          <w:p w14:paraId="0F6F1C9D" w14:textId="77777777" w:rsidR="007B290F" w:rsidRPr="007B290F" w:rsidRDefault="007B290F" w:rsidP="00516AD6">
            <w:pPr>
              <w:numPr>
                <w:ilvl w:val="0"/>
                <w:numId w:val="64"/>
              </w:numPr>
              <w:spacing w:line="240" w:lineRule="auto"/>
              <w:ind w:left="409"/>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Facilitated 3, 141  outgoing communications (email and standard) </w:t>
            </w:r>
          </w:p>
          <w:p w14:paraId="34A96ADC" w14:textId="77777777" w:rsidR="007B290F" w:rsidRPr="007B290F" w:rsidRDefault="007B290F" w:rsidP="00516AD6">
            <w:pPr>
              <w:numPr>
                <w:ilvl w:val="0"/>
                <w:numId w:val="64"/>
              </w:numPr>
              <w:spacing w:line="240" w:lineRule="auto"/>
              <w:ind w:left="409"/>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lastRenderedPageBreak/>
              <w:t>Conducted Ocular Inspection of Records and its Storage at the Centers and Institutions, POO1 and the Field Office</w:t>
            </w:r>
          </w:p>
          <w:p w14:paraId="627539C2" w14:textId="77777777" w:rsidR="007B290F" w:rsidRPr="007B290F" w:rsidRDefault="007B290F" w:rsidP="007B290F">
            <w:pPr>
              <w:spacing w:line="240" w:lineRule="auto"/>
              <w:rPr>
                <w:rFonts w:ascii="Times New Roman" w:eastAsia="Times New Roman" w:hAnsi="Times New Roman" w:cs="Times New Roman"/>
                <w:sz w:val="24"/>
                <w:szCs w:val="24"/>
                <w:lang w:val="en-PH" w:eastAsia="en-PH"/>
              </w:rPr>
            </w:pPr>
          </w:p>
        </w:tc>
      </w:tr>
      <w:tr w:rsidR="007B290F" w:rsidRPr="007B290F" w14:paraId="5CAD38DB" w14:textId="77777777" w:rsidTr="00023229">
        <w:trPr>
          <w:trHeight w:val="611"/>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5BFEC" w14:textId="77777777" w:rsidR="007B290F" w:rsidRPr="007B290F" w:rsidRDefault="007B290F" w:rsidP="00516AD6">
            <w:pPr>
              <w:numPr>
                <w:ilvl w:val="0"/>
                <w:numId w:val="65"/>
              </w:numPr>
              <w:spacing w:after="120" w:line="240" w:lineRule="auto"/>
              <w:ind w:left="427"/>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lastRenderedPageBreak/>
              <w:t>Performs ISO Tasks</w:t>
            </w:r>
          </w:p>
        </w:tc>
        <w:tc>
          <w:tcPr>
            <w:tcW w:w="6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0800D" w14:textId="77777777" w:rsidR="007B290F" w:rsidRPr="007B290F" w:rsidRDefault="007B290F" w:rsidP="00516AD6">
            <w:pPr>
              <w:numPr>
                <w:ilvl w:val="0"/>
                <w:numId w:val="66"/>
              </w:numPr>
              <w:spacing w:line="240" w:lineRule="auto"/>
              <w:ind w:left="409"/>
              <w:jc w:val="both"/>
              <w:textAlignment w:val="baseline"/>
              <w:rPr>
                <w:rFonts w:eastAsia="Times New Roman"/>
                <w:color w:val="000000"/>
                <w:sz w:val="20"/>
                <w:szCs w:val="20"/>
                <w:lang w:val="en-PH" w:eastAsia="en-PH"/>
              </w:rPr>
            </w:pPr>
            <w:r w:rsidRPr="007B290F">
              <w:rPr>
                <w:rFonts w:eastAsia="Times New Roman"/>
                <w:color w:val="000000"/>
                <w:sz w:val="20"/>
                <w:szCs w:val="20"/>
                <w:lang w:val="en-PH" w:eastAsia="en-PH"/>
              </w:rPr>
              <w:t>Continuous cascading of revised ISO General Forms and provided technical assistance on the use/accomplishment of forms and the memorandum on preparation and management of correspondences.</w:t>
            </w:r>
          </w:p>
        </w:tc>
      </w:tr>
    </w:tbl>
    <w:p w14:paraId="7C6B03FE" w14:textId="71F1AF60" w:rsidR="007B290F" w:rsidRPr="007B290F" w:rsidRDefault="007B290F" w:rsidP="007B290F">
      <w:pPr>
        <w:spacing w:line="240" w:lineRule="auto"/>
        <w:rPr>
          <w:rFonts w:ascii="Times New Roman" w:eastAsia="Times New Roman" w:hAnsi="Times New Roman" w:cs="Times New Roman"/>
          <w:sz w:val="24"/>
          <w:szCs w:val="24"/>
          <w:lang w:val="en-PH" w:eastAsia="en-PH"/>
        </w:rPr>
      </w:pPr>
    </w:p>
    <w:p w14:paraId="308530B1" w14:textId="77777777" w:rsidR="007B290F" w:rsidRPr="007B290F" w:rsidRDefault="007B290F" w:rsidP="00516AD6">
      <w:pPr>
        <w:numPr>
          <w:ilvl w:val="0"/>
          <w:numId w:val="67"/>
        </w:numPr>
        <w:spacing w:line="240" w:lineRule="auto"/>
        <w:ind w:left="360"/>
        <w:textAlignment w:val="baseline"/>
        <w:rPr>
          <w:rFonts w:eastAsia="Times New Roman"/>
          <w:b/>
          <w:bCs/>
          <w:color w:val="000000"/>
          <w:u w:val="single"/>
          <w:lang w:val="en-PH" w:eastAsia="en-PH"/>
        </w:rPr>
      </w:pPr>
      <w:r w:rsidRPr="007B290F">
        <w:rPr>
          <w:rFonts w:eastAsia="Times New Roman"/>
          <w:b/>
          <w:bCs/>
          <w:color w:val="000000"/>
          <w:u w:val="single"/>
          <w:lang w:val="en-PH" w:eastAsia="en-PH"/>
        </w:rPr>
        <w:t> GENERAL  SERVICES  SECTION</w:t>
      </w:r>
    </w:p>
    <w:p w14:paraId="00A9D53D" w14:textId="276BE9B6" w:rsidR="007B290F" w:rsidRPr="007B290F" w:rsidRDefault="007B290F" w:rsidP="007B290F">
      <w:pPr>
        <w:spacing w:line="240" w:lineRule="auto"/>
        <w:rPr>
          <w:rFonts w:ascii="Times New Roman" w:eastAsia="Times New Roman" w:hAnsi="Times New Roman" w:cs="Times New Roman"/>
          <w:sz w:val="24"/>
          <w:szCs w:val="24"/>
          <w:lang w:val="en-PH" w:eastAsia="en-PH"/>
        </w:rPr>
      </w:pPr>
    </w:p>
    <w:p w14:paraId="0E663DF6" w14:textId="77777777" w:rsidR="007B290F" w:rsidRPr="007B290F" w:rsidRDefault="007B290F" w:rsidP="00516AD6">
      <w:pPr>
        <w:numPr>
          <w:ilvl w:val="0"/>
          <w:numId w:val="68"/>
        </w:numPr>
        <w:spacing w:line="240" w:lineRule="auto"/>
        <w:ind w:left="502"/>
        <w:textAlignment w:val="baseline"/>
        <w:rPr>
          <w:rFonts w:eastAsia="Times New Roman"/>
          <w:color w:val="000000"/>
          <w:u w:val="single"/>
          <w:lang w:val="en-PH" w:eastAsia="en-PH"/>
        </w:rPr>
      </w:pPr>
      <w:r w:rsidRPr="007B290F">
        <w:rPr>
          <w:rFonts w:eastAsia="Times New Roman"/>
          <w:color w:val="000000"/>
          <w:lang w:val="en-PH" w:eastAsia="en-PH"/>
        </w:rPr>
        <w:t>Facility Upgrade</w:t>
      </w:r>
    </w:p>
    <w:tbl>
      <w:tblPr>
        <w:tblW w:w="0" w:type="auto"/>
        <w:tblCellMar>
          <w:top w:w="15" w:type="dxa"/>
          <w:left w:w="15" w:type="dxa"/>
          <w:bottom w:w="15" w:type="dxa"/>
          <w:right w:w="15" w:type="dxa"/>
        </w:tblCellMar>
        <w:tblLook w:val="04A0" w:firstRow="1" w:lastRow="0" w:firstColumn="1" w:lastColumn="0" w:noHBand="0" w:noVBand="1"/>
      </w:tblPr>
      <w:tblGrid>
        <w:gridCol w:w="2244"/>
        <w:gridCol w:w="1343"/>
        <w:gridCol w:w="1534"/>
        <w:gridCol w:w="1695"/>
        <w:gridCol w:w="2458"/>
      </w:tblGrid>
      <w:tr w:rsidR="007B290F" w:rsidRPr="007B290F" w14:paraId="0EB2FE57" w14:textId="77777777" w:rsidTr="007B290F">
        <w:trPr>
          <w:trHeight w:val="58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63ADB6"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Project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0BC598"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Location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82954"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Cost of Project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465A30"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Usage/Output Indicator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FEBD59"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Remarks/Status</w:t>
            </w:r>
          </w:p>
        </w:tc>
      </w:tr>
      <w:tr w:rsidR="007B290F" w:rsidRPr="007B290F" w14:paraId="7E7AF6F2" w14:textId="77777777" w:rsidTr="007B290F">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D3FE97" w14:textId="77777777" w:rsidR="007B290F" w:rsidRPr="007B290F" w:rsidRDefault="007B290F" w:rsidP="007B290F">
            <w:pPr>
              <w:spacing w:line="240" w:lineRule="auto"/>
              <w:rPr>
                <w:rFonts w:ascii="Times New Roman" w:eastAsia="Times New Roman" w:hAnsi="Times New Roman" w:cs="Times New Roman"/>
                <w:sz w:val="24"/>
                <w:szCs w:val="24"/>
                <w:lang w:val="en-PH" w:eastAsia="en-P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DA960F" w14:textId="77777777" w:rsidR="007B290F" w:rsidRPr="007B290F" w:rsidRDefault="007B290F" w:rsidP="007B290F">
            <w:pPr>
              <w:spacing w:line="240" w:lineRule="auto"/>
              <w:rPr>
                <w:rFonts w:ascii="Times New Roman" w:eastAsia="Times New Roman" w:hAnsi="Times New Roman" w:cs="Times New Roman"/>
                <w:sz w:val="24"/>
                <w:szCs w:val="24"/>
                <w:lang w:val="en-PH" w:eastAsia="en-P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BBA7EC" w14:textId="77777777" w:rsidR="007B290F" w:rsidRPr="007B290F" w:rsidRDefault="007B290F" w:rsidP="007B290F">
            <w:pPr>
              <w:spacing w:line="240" w:lineRule="auto"/>
              <w:rPr>
                <w:rFonts w:ascii="Times New Roman" w:eastAsia="Times New Roman" w:hAnsi="Times New Roman" w:cs="Times New Roman"/>
                <w:sz w:val="24"/>
                <w:szCs w:val="24"/>
                <w:lang w:val="en-PH" w:eastAsia="en-P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25E6EB" w14:textId="77777777" w:rsidR="007B290F" w:rsidRPr="007B290F" w:rsidRDefault="007B290F" w:rsidP="007B290F">
            <w:pPr>
              <w:spacing w:line="240" w:lineRule="auto"/>
              <w:rPr>
                <w:rFonts w:ascii="Times New Roman" w:eastAsia="Times New Roman" w:hAnsi="Times New Roman" w:cs="Times New Roman"/>
                <w:sz w:val="24"/>
                <w:szCs w:val="24"/>
                <w:lang w:val="en-PH" w:eastAsia="en-P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18AB92" w14:textId="77777777" w:rsidR="007B290F" w:rsidRPr="007B290F" w:rsidRDefault="007B290F" w:rsidP="007B290F">
            <w:pPr>
              <w:spacing w:line="240" w:lineRule="auto"/>
              <w:rPr>
                <w:rFonts w:ascii="Times New Roman" w:eastAsia="Times New Roman" w:hAnsi="Times New Roman" w:cs="Times New Roman"/>
                <w:sz w:val="24"/>
                <w:szCs w:val="24"/>
                <w:lang w:val="en-PH" w:eastAsia="en-PH"/>
              </w:rPr>
            </w:pPr>
          </w:p>
        </w:tc>
      </w:tr>
      <w:tr w:rsidR="007B290F" w:rsidRPr="007B290F" w14:paraId="49FFDDD1"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60AC3B"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Construction of 3 door dormitory (3</w:t>
            </w:r>
            <w:r w:rsidRPr="007B290F">
              <w:rPr>
                <w:rFonts w:eastAsia="Times New Roman"/>
                <w:color w:val="000000"/>
                <w:sz w:val="13"/>
                <w:szCs w:val="13"/>
                <w:vertAlign w:val="superscript"/>
                <w:lang w:val="en-PH" w:eastAsia="en-PH"/>
              </w:rPr>
              <w:t>rd</w:t>
            </w:r>
            <w:r w:rsidRPr="007B290F">
              <w:rPr>
                <w:rFonts w:eastAsia="Times New Roman"/>
                <w:color w:val="000000"/>
                <w:lang w:val="en-PH" w:eastAsia="en-PH"/>
              </w:rPr>
              <w:t xml:space="preserve"> floor Operation Center)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BC3942"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DSWD Field Office 02, Carig Sur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ED9368"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1,898,679.75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3CF57D"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94.00%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A2AE27" w14:textId="7C94A411"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01E8F588"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ED77FC"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Improvement of Records Stockroom (2nd floor &amp; 3rd floor)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20EF50"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DSWD Field Office 02, Carig Sur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89B823"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343,686.00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69FC18"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F8F557" w14:textId="29858D39"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77CD8BBF"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201DAC"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Repair of Plumbing Fixture and Re-Tiling (POO Cagayan)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1F4354"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DSWD Field Office 02, Carig Sur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66B0F3"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234,790.50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9F4666"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92.32%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5C9504" w14:textId="03E4DED9"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671CE1F6"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721AA"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Repainting of multi-purpose gymnasium (Floor)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53333A"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DSWD Field Office 02, Carig Sur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E101F4"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26,523.00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14A4DC"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05871A" w14:textId="57D620BC"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53884A2F"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157B53"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Repainting of multi-purpose gymnasium (Floor), additional area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28FAA5"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DSWD Field Office 02, Carig Sur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24371A"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20,795.25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62ABE6"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696D05" w14:textId="7E00CE59"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26042B27" w14:textId="77777777" w:rsidTr="007B290F">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92C019"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Renovation of former SMU Office to RD Lounge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03C73"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DSWD Field Office 02, Carig Sur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7BD88E"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48,650.18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2F6BB8"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444B29" w14:textId="1345AB81"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7AF7A94C"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F8470C"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Improvement of Visitors' Lounge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CA3C99"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DSWD Field Office 02, Carig Sur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839DFC"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71,759.91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50B5AC"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72.78%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565B41" w14:textId="5F5D2991"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14990F72"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26BCE7"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Improvement of Records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2999CD"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DSWD Field Office 02, Carig Sur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FE0392"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636,744.94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DBD76D"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11.03%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E42CD6" w14:textId="57E18550"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3E73081E"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F24C00"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Fabrication of Mezzanine for Disaster Warehouse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5A6FB2"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DSWD Field Office 02, Carig Sur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7BD561"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1,007,737.84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B5E2A5"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2.34%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C4D02C" w14:textId="5EB149C7"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2FF7B2FA"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0B4276"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lastRenderedPageBreak/>
              <w:t>Retiling of 4 Cottages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01815B"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CV-RRCY, Roma Norte, Enrile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CC6DC0"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1,885,237.20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9B5BF4"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238D7D" w14:textId="02544C7B"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5858F46C"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99EDFF"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Extension of Covered Pathwalk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4C2CEC"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CV-RRCY, Roma Norte, Enrile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64390B"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1,065,787.63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ED36A1"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55C450" w14:textId="55A38022"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27129A78"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A5B863"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Construction of Drainage and Rehabilitation of Drainage for Cottages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9F900B"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CV-RRCY, Roma Norte, Enrile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65ED49"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1,508,712.61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4CC397"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F848EE" w14:textId="0E224AF1"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1B5AC702"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BCB66D"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Extension of Guard House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F3C5A"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CV-RRCY, Roma Norte, Enrile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AB30D9"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220,884.62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7DBABD"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71D08F" w14:textId="59C86BF0"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08D01861"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914F07"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Repair of Gutter, Drainage and Catch basins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9174F7"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CV-RRCY, Roma Norte, Enrile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411520"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475,176.80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D44DF6"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BF87F9" w14:textId="0877E832"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78432B60"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43E834"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Installation of Panel Doors for 3 Cottages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2FEEBE"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CV-RRCY, Roma Norte, Enrile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E6D424"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117,611.76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653488"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9D1BDF" w14:textId="37843F5A"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393DE34F"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E3FB55"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Rehabilitation of Gymnasium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2DD6A7"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CV-RRCY, Roma Norte, Enrile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90984A"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859,561.30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2F1DA2"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90A605" w14:textId="14C9A5B9"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66AB9EB1"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463135"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Rehabilitation and Improvement of Parking Area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DA7A20"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CV-RRCY, Roma Norte, Enrile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8BD61F"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179,969.16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A23B74"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CFA2F7" w14:textId="46DEFEC7"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4FAF6239"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F3D8A5"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Rehabilitation &amp; Retrofitting of Cottages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CB24CF"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CV-RRCY, Roma Norte, Enrile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4FDE22"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512,479.80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099C63"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85.00%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C15A3A" w14:textId="189BC9AE"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5D3E5AD4"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5807FD"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Waterproofing of Concrete Gutter and Application of Sealant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37423C"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RSCC, Lingu, Solana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F4E305"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46,769.47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B60DE3"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3F737D" w14:textId="08A1563B"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0F3603FE"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2F4E62"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Rehabilitation of Toilet &amp; Bath at RHWG (Beside Industrial Kitchen)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DED77F"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RHWG, Lingu, Solana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FE116E"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353,883.29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EF912F"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A1AB51" w14:textId="32169F67"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By</w:t>
            </w:r>
            <w:r w:rsidR="007B290F" w:rsidRPr="007B290F">
              <w:rPr>
                <w:rFonts w:eastAsia="Times New Roman"/>
                <w:color w:val="000000"/>
                <w:lang w:val="en-PH" w:eastAsia="en-PH"/>
              </w:rPr>
              <w:t xml:space="preserve"> administration, work resumed with limited number of laborers.</w:t>
            </w:r>
          </w:p>
        </w:tc>
      </w:tr>
      <w:tr w:rsidR="007B290F" w:rsidRPr="007B290F" w14:paraId="2B061F20" w14:textId="77777777" w:rsidTr="007B290F">
        <w:trPr>
          <w:trHeight w:val="1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43D848"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lastRenderedPageBreak/>
              <w:t>Rehabilitation of PSCB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CD04B2"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RHWG, Lingu, Solana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39DF88"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333,771.45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412718" w14:textId="77777777" w:rsidR="007B290F" w:rsidRPr="007B290F" w:rsidRDefault="007B290F" w:rsidP="007B290F">
            <w:pPr>
              <w:spacing w:line="240" w:lineRule="auto"/>
              <w:jc w:val="center"/>
              <w:rPr>
                <w:rFonts w:ascii="Times New Roman" w:eastAsia="Times New Roman" w:hAnsi="Times New Roman" w:cs="Times New Roman"/>
                <w:sz w:val="24"/>
                <w:szCs w:val="24"/>
                <w:lang w:val="en-PH" w:eastAsia="en-PH"/>
              </w:rPr>
            </w:pPr>
            <w:r w:rsidRPr="007B290F">
              <w:rPr>
                <w:rFonts w:eastAsia="Times New Roman"/>
                <w:color w:val="000000"/>
                <w:lang w:val="en-PH" w:eastAsia="en-PH"/>
              </w:rPr>
              <w:t>61.00%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859084" w14:textId="4ECF17DB" w:rsidR="007B290F" w:rsidRPr="007B290F" w:rsidRDefault="008F295F" w:rsidP="007B290F">
            <w:pPr>
              <w:spacing w:line="240" w:lineRule="auto"/>
              <w:jc w:val="center"/>
              <w:rPr>
                <w:rFonts w:ascii="Times New Roman" w:eastAsia="Times New Roman" w:hAnsi="Times New Roman" w:cs="Times New Roman"/>
                <w:sz w:val="24"/>
                <w:szCs w:val="24"/>
                <w:lang w:val="en-PH" w:eastAsia="en-PH"/>
              </w:rPr>
            </w:pPr>
            <w:r>
              <w:rPr>
                <w:rFonts w:eastAsia="Times New Roman"/>
                <w:color w:val="000000"/>
                <w:lang w:val="en-PH" w:eastAsia="en-PH"/>
              </w:rPr>
              <w:t>B</w:t>
            </w:r>
            <w:r w:rsidR="007B290F" w:rsidRPr="007B290F">
              <w:rPr>
                <w:rFonts w:eastAsia="Times New Roman"/>
                <w:color w:val="000000"/>
                <w:lang w:val="en-PH" w:eastAsia="en-PH"/>
              </w:rPr>
              <w:t>y administration, 39% unworkable are (used a storage room of Records)</w:t>
            </w:r>
          </w:p>
        </w:tc>
      </w:tr>
    </w:tbl>
    <w:p w14:paraId="7ADF841C" w14:textId="77777777" w:rsidR="007B290F" w:rsidRPr="007B290F" w:rsidRDefault="007B290F" w:rsidP="007B290F">
      <w:pPr>
        <w:spacing w:before="240" w:after="240"/>
        <w:jc w:val="both"/>
        <w:rPr>
          <w:rFonts w:eastAsia="Times New Roman"/>
          <w:b/>
          <w:color w:val="0E101A"/>
          <w:szCs w:val="24"/>
          <w:lang w:val="en-PH" w:eastAsia="en-PH"/>
        </w:rPr>
      </w:pPr>
      <w:r w:rsidRPr="007B290F">
        <w:rPr>
          <w:rFonts w:eastAsia="Times New Roman"/>
          <w:b/>
          <w:color w:val="0E101A"/>
          <w:szCs w:val="24"/>
          <w:lang w:val="en-PH" w:eastAsia="en-PH"/>
        </w:rPr>
        <w:t>Financial Management Division</w:t>
      </w:r>
    </w:p>
    <w:p w14:paraId="6BDC173C" w14:textId="77777777" w:rsidR="007B290F" w:rsidRPr="007B290F" w:rsidRDefault="007B290F" w:rsidP="007B290F">
      <w:pPr>
        <w:spacing w:line="240" w:lineRule="auto"/>
        <w:jc w:val="both"/>
        <w:rPr>
          <w:rFonts w:eastAsia="Times New Roman"/>
          <w:lang w:val="en-PH" w:eastAsia="en-PH"/>
        </w:rPr>
      </w:pPr>
      <w:r w:rsidRPr="007B290F">
        <w:rPr>
          <w:rFonts w:eastAsia="Times New Roman"/>
          <w:color w:val="000000"/>
          <w:lang w:val="en-PH" w:eastAsia="en-PH"/>
        </w:rPr>
        <w:t xml:space="preserve">The </w:t>
      </w:r>
      <w:r w:rsidRPr="007B290F">
        <w:rPr>
          <w:rFonts w:eastAsia="Times New Roman"/>
          <w:b/>
          <w:bCs/>
          <w:color w:val="000000"/>
          <w:lang w:val="en-PH" w:eastAsia="en-PH"/>
        </w:rPr>
        <w:t>Financial Management Division</w:t>
      </w:r>
      <w:r w:rsidRPr="007B290F">
        <w:rPr>
          <w:rFonts w:eastAsia="Times New Roman"/>
          <w:color w:val="000000"/>
          <w:lang w:val="en-PH" w:eastAsia="en-PH"/>
        </w:rPr>
        <w:t xml:space="preserve"> comprises of three (3) sections namely:</w:t>
      </w:r>
    </w:p>
    <w:p w14:paraId="75745CBE" w14:textId="77777777" w:rsidR="007B290F" w:rsidRPr="007B290F" w:rsidRDefault="007B290F" w:rsidP="007B290F">
      <w:pPr>
        <w:spacing w:line="240" w:lineRule="auto"/>
        <w:rPr>
          <w:rFonts w:eastAsia="Times New Roman"/>
          <w:lang w:val="en-PH" w:eastAsia="en-PH"/>
        </w:rPr>
      </w:pPr>
      <w:r w:rsidRPr="007B290F">
        <w:rPr>
          <w:rFonts w:eastAsia="Times New Roman"/>
          <w:lang w:val="en-PH" w:eastAsia="en-PH"/>
        </w:rPr>
        <w:br/>
      </w:r>
    </w:p>
    <w:p w14:paraId="0C16E049" w14:textId="77777777" w:rsidR="007B290F" w:rsidRPr="007B290F" w:rsidRDefault="007B290F" w:rsidP="00516AD6">
      <w:pPr>
        <w:numPr>
          <w:ilvl w:val="0"/>
          <w:numId w:val="69"/>
        </w:numPr>
        <w:spacing w:line="240" w:lineRule="auto"/>
        <w:ind w:left="1080"/>
        <w:jc w:val="both"/>
        <w:textAlignment w:val="baseline"/>
        <w:rPr>
          <w:rFonts w:eastAsia="Times New Roman"/>
          <w:color w:val="000000"/>
          <w:lang w:val="en-PH" w:eastAsia="en-PH"/>
        </w:rPr>
      </w:pPr>
      <w:r w:rsidRPr="007B290F">
        <w:rPr>
          <w:rFonts w:eastAsia="Times New Roman"/>
          <w:color w:val="000000"/>
          <w:lang w:val="en-PH" w:eastAsia="en-PH"/>
        </w:rPr>
        <w:t xml:space="preserve">The </w:t>
      </w:r>
      <w:r w:rsidRPr="007B290F">
        <w:rPr>
          <w:rFonts w:eastAsia="Times New Roman"/>
          <w:b/>
          <w:bCs/>
          <w:color w:val="000000"/>
          <w:lang w:val="en-PH" w:eastAsia="en-PH"/>
        </w:rPr>
        <w:t>Accounting Section</w:t>
      </w:r>
      <w:r w:rsidRPr="007B290F">
        <w:rPr>
          <w:rFonts w:eastAsia="Times New Roman"/>
          <w:color w:val="000000"/>
          <w:lang w:val="en-PH" w:eastAsia="en-PH"/>
        </w:rPr>
        <w:t xml:space="preserve"> with  one (1 )Regional Accountant as the Section head, six (6) regular staff,  ten (10) contractual staff, one (1) MOA and six (6) job order staff</w:t>
      </w:r>
    </w:p>
    <w:p w14:paraId="64A6FC5A" w14:textId="77777777" w:rsidR="007B290F" w:rsidRPr="007B290F" w:rsidRDefault="007B290F" w:rsidP="00516AD6">
      <w:pPr>
        <w:numPr>
          <w:ilvl w:val="0"/>
          <w:numId w:val="69"/>
        </w:numPr>
        <w:spacing w:line="240" w:lineRule="auto"/>
        <w:ind w:left="1080"/>
        <w:jc w:val="both"/>
        <w:textAlignment w:val="baseline"/>
        <w:rPr>
          <w:rFonts w:eastAsia="Times New Roman"/>
          <w:color w:val="000000"/>
          <w:lang w:val="en-PH" w:eastAsia="en-PH"/>
        </w:rPr>
      </w:pPr>
      <w:r w:rsidRPr="007B290F">
        <w:rPr>
          <w:rFonts w:eastAsia="Times New Roman"/>
          <w:color w:val="000000"/>
          <w:lang w:val="en-PH" w:eastAsia="en-PH"/>
        </w:rPr>
        <w:t xml:space="preserve">The </w:t>
      </w:r>
      <w:r w:rsidRPr="007B290F">
        <w:rPr>
          <w:rFonts w:eastAsia="Times New Roman"/>
          <w:b/>
          <w:bCs/>
          <w:color w:val="000000"/>
          <w:lang w:val="en-PH" w:eastAsia="en-PH"/>
        </w:rPr>
        <w:t>Budget Section</w:t>
      </w:r>
      <w:r w:rsidRPr="007B290F">
        <w:rPr>
          <w:rFonts w:eastAsia="Times New Roman"/>
          <w:color w:val="000000"/>
          <w:lang w:val="en-PH" w:eastAsia="en-PH"/>
        </w:rPr>
        <w:t xml:space="preserve"> with one (1) Budget Officer as the Section head, three (3) regular staff, five (5) contractual staff,  one (4) MOA staff and one (1)job order staff.</w:t>
      </w:r>
    </w:p>
    <w:p w14:paraId="752BEC7F" w14:textId="77777777" w:rsidR="007B290F" w:rsidRPr="007B290F" w:rsidRDefault="007B290F" w:rsidP="00516AD6">
      <w:pPr>
        <w:numPr>
          <w:ilvl w:val="0"/>
          <w:numId w:val="69"/>
        </w:numPr>
        <w:spacing w:line="240" w:lineRule="auto"/>
        <w:ind w:left="1080"/>
        <w:jc w:val="both"/>
        <w:textAlignment w:val="baseline"/>
        <w:rPr>
          <w:rFonts w:eastAsia="Times New Roman"/>
          <w:color w:val="000000"/>
          <w:lang w:val="en-PH" w:eastAsia="en-PH"/>
        </w:rPr>
      </w:pPr>
      <w:r w:rsidRPr="007B290F">
        <w:rPr>
          <w:rFonts w:eastAsia="Times New Roman"/>
          <w:color w:val="000000"/>
          <w:lang w:val="en-PH" w:eastAsia="en-PH"/>
        </w:rPr>
        <w:t xml:space="preserve">The </w:t>
      </w:r>
      <w:r w:rsidRPr="007B290F">
        <w:rPr>
          <w:rFonts w:eastAsia="Times New Roman"/>
          <w:b/>
          <w:bCs/>
          <w:color w:val="000000"/>
          <w:lang w:val="en-PH" w:eastAsia="en-PH"/>
        </w:rPr>
        <w:t>Cash Section</w:t>
      </w:r>
      <w:r w:rsidRPr="007B290F">
        <w:rPr>
          <w:rFonts w:eastAsia="Times New Roman"/>
          <w:color w:val="000000"/>
          <w:lang w:val="en-PH" w:eastAsia="en-PH"/>
        </w:rPr>
        <w:t xml:space="preserve"> with  one (1) Cashier as the Section head, two (3) regular staff, three (3) contractual staff and  two (2) MOA staff</w:t>
      </w:r>
    </w:p>
    <w:p w14:paraId="311CC23E" w14:textId="77777777" w:rsidR="007B290F" w:rsidRPr="007B290F" w:rsidRDefault="007B290F" w:rsidP="007B290F">
      <w:pPr>
        <w:spacing w:line="240" w:lineRule="auto"/>
        <w:rPr>
          <w:rFonts w:eastAsia="Times New Roman"/>
          <w:lang w:val="en-PH" w:eastAsia="en-PH"/>
        </w:rPr>
      </w:pPr>
    </w:p>
    <w:p w14:paraId="375492F9" w14:textId="77777777" w:rsidR="007B290F" w:rsidRPr="007B290F" w:rsidRDefault="007B290F" w:rsidP="007B290F">
      <w:pPr>
        <w:spacing w:line="240" w:lineRule="auto"/>
        <w:jc w:val="both"/>
        <w:rPr>
          <w:rFonts w:eastAsia="Times New Roman"/>
          <w:lang w:val="en-PH" w:eastAsia="en-PH"/>
        </w:rPr>
      </w:pPr>
      <w:r w:rsidRPr="007B290F">
        <w:rPr>
          <w:rFonts w:eastAsia="Times New Roman"/>
          <w:color w:val="000000"/>
          <w:lang w:val="en-PH" w:eastAsia="en-PH"/>
        </w:rPr>
        <w:t>Each section plays a vital role in the successful operation of the department. As one of the support divisions, the following are the roles and responsibilities of each section under the Financial Management Division to effectively achieve the targets of the department:</w:t>
      </w:r>
    </w:p>
    <w:p w14:paraId="42973B1D" w14:textId="77777777" w:rsidR="007B290F" w:rsidRPr="007B290F" w:rsidRDefault="007B290F" w:rsidP="007B290F">
      <w:pPr>
        <w:spacing w:line="240" w:lineRule="auto"/>
        <w:rPr>
          <w:rFonts w:eastAsia="Times New Roman"/>
          <w:lang w:val="en-PH" w:eastAsia="en-PH"/>
        </w:rPr>
      </w:pPr>
      <w:r w:rsidRPr="007B290F">
        <w:rPr>
          <w:rFonts w:eastAsia="Times New Roman"/>
          <w:lang w:val="en-PH" w:eastAsia="en-PH"/>
        </w:rPr>
        <w:br/>
      </w:r>
    </w:p>
    <w:p w14:paraId="3EC3AD83" w14:textId="77777777" w:rsidR="007B290F" w:rsidRPr="007B290F" w:rsidRDefault="007B290F" w:rsidP="00516AD6">
      <w:pPr>
        <w:numPr>
          <w:ilvl w:val="0"/>
          <w:numId w:val="70"/>
        </w:numPr>
        <w:spacing w:line="240" w:lineRule="auto"/>
        <w:jc w:val="both"/>
        <w:textAlignment w:val="baseline"/>
        <w:rPr>
          <w:rFonts w:eastAsia="Times New Roman"/>
          <w:color w:val="000000"/>
          <w:lang w:val="en-PH" w:eastAsia="en-PH"/>
        </w:rPr>
      </w:pPr>
      <w:r w:rsidRPr="007B290F">
        <w:rPr>
          <w:rFonts w:eastAsia="Times New Roman"/>
          <w:color w:val="000000"/>
          <w:lang w:val="en-PH" w:eastAsia="en-PH"/>
        </w:rPr>
        <w:t xml:space="preserve">The </w:t>
      </w:r>
      <w:r w:rsidRPr="007B290F">
        <w:rPr>
          <w:rFonts w:eastAsia="Times New Roman"/>
          <w:b/>
          <w:bCs/>
          <w:color w:val="000000"/>
          <w:lang w:val="en-PH" w:eastAsia="en-PH"/>
        </w:rPr>
        <w:t xml:space="preserve">Accounting Section </w:t>
      </w:r>
      <w:r w:rsidRPr="007B290F">
        <w:rPr>
          <w:rFonts w:eastAsia="Times New Roman"/>
          <w:color w:val="000000"/>
          <w:lang w:val="en-PH" w:eastAsia="en-PH"/>
        </w:rPr>
        <w:t>is responsible in the preparation of the Monthly and Quarterly Financial Report in accordance with the Philippine Public Sector Accounting Standards. This section is also responsible for the processing of financial claims in accordance with the department’s guidelines and memorandum.</w:t>
      </w:r>
    </w:p>
    <w:p w14:paraId="73E45C98" w14:textId="77777777" w:rsidR="007B290F" w:rsidRPr="007B290F" w:rsidRDefault="007B290F" w:rsidP="007B290F">
      <w:pPr>
        <w:spacing w:line="240" w:lineRule="auto"/>
        <w:rPr>
          <w:rFonts w:eastAsia="Times New Roman"/>
          <w:lang w:val="en-PH" w:eastAsia="en-PH"/>
        </w:rPr>
      </w:pPr>
      <w:r w:rsidRPr="007B290F">
        <w:rPr>
          <w:rFonts w:eastAsia="Times New Roman"/>
          <w:lang w:val="en-PH" w:eastAsia="en-PH"/>
        </w:rPr>
        <w:br/>
      </w:r>
    </w:p>
    <w:p w14:paraId="1AC1238A" w14:textId="77777777" w:rsidR="007B290F" w:rsidRPr="007B290F" w:rsidRDefault="007B290F" w:rsidP="00516AD6">
      <w:pPr>
        <w:numPr>
          <w:ilvl w:val="0"/>
          <w:numId w:val="71"/>
        </w:numPr>
        <w:spacing w:line="240" w:lineRule="auto"/>
        <w:jc w:val="both"/>
        <w:textAlignment w:val="baseline"/>
        <w:rPr>
          <w:rFonts w:eastAsia="Times New Roman"/>
          <w:color w:val="000000"/>
          <w:lang w:val="en-PH" w:eastAsia="en-PH"/>
        </w:rPr>
      </w:pPr>
      <w:r w:rsidRPr="007B290F">
        <w:rPr>
          <w:rFonts w:eastAsia="Times New Roman"/>
          <w:color w:val="000000"/>
          <w:lang w:val="en-PH" w:eastAsia="en-PH"/>
        </w:rPr>
        <w:t xml:space="preserve">The </w:t>
      </w:r>
      <w:r w:rsidRPr="007B290F">
        <w:rPr>
          <w:rFonts w:eastAsia="Times New Roman"/>
          <w:b/>
          <w:bCs/>
          <w:color w:val="000000"/>
          <w:lang w:val="en-PH" w:eastAsia="en-PH"/>
        </w:rPr>
        <w:t>Budget Section</w:t>
      </w:r>
      <w:r w:rsidRPr="007B290F">
        <w:rPr>
          <w:rFonts w:eastAsia="Times New Roman"/>
          <w:color w:val="000000"/>
          <w:lang w:val="en-PH" w:eastAsia="en-PH"/>
        </w:rPr>
        <w:t xml:space="preserve"> is responsible in the processing of Obligation Request to ensure that fund allocation of the different Programs/Activities/Projects (PAP) are utilized in accordance with the General Appropriations Act.</w:t>
      </w:r>
    </w:p>
    <w:p w14:paraId="7E7D2365" w14:textId="77777777" w:rsidR="007B290F" w:rsidRPr="007B290F" w:rsidRDefault="007B290F" w:rsidP="007B290F">
      <w:pPr>
        <w:spacing w:line="240" w:lineRule="auto"/>
        <w:rPr>
          <w:rFonts w:eastAsia="Times New Roman"/>
          <w:lang w:val="en-PH" w:eastAsia="en-PH"/>
        </w:rPr>
      </w:pPr>
      <w:r w:rsidRPr="007B290F">
        <w:rPr>
          <w:rFonts w:eastAsia="Times New Roman"/>
          <w:lang w:val="en-PH" w:eastAsia="en-PH"/>
        </w:rPr>
        <w:br/>
      </w:r>
    </w:p>
    <w:p w14:paraId="21C3D7B9" w14:textId="77777777" w:rsidR="007B290F" w:rsidRPr="007B290F" w:rsidRDefault="007B290F" w:rsidP="00516AD6">
      <w:pPr>
        <w:numPr>
          <w:ilvl w:val="0"/>
          <w:numId w:val="72"/>
        </w:numPr>
        <w:spacing w:line="240" w:lineRule="auto"/>
        <w:jc w:val="both"/>
        <w:textAlignment w:val="baseline"/>
        <w:rPr>
          <w:rFonts w:eastAsia="Times New Roman"/>
          <w:color w:val="000000"/>
          <w:lang w:val="en-PH" w:eastAsia="en-PH"/>
        </w:rPr>
      </w:pPr>
      <w:r w:rsidRPr="007B290F">
        <w:rPr>
          <w:rFonts w:eastAsia="Times New Roman"/>
          <w:color w:val="000000"/>
          <w:lang w:val="en-PH" w:eastAsia="en-PH"/>
        </w:rPr>
        <w:t xml:space="preserve">The </w:t>
      </w:r>
      <w:r w:rsidRPr="007B290F">
        <w:rPr>
          <w:rFonts w:eastAsia="Times New Roman"/>
          <w:b/>
          <w:bCs/>
          <w:color w:val="000000"/>
          <w:lang w:val="en-PH" w:eastAsia="en-PH"/>
        </w:rPr>
        <w:t>Cash Section</w:t>
      </w:r>
      <w:r w:rsidRPr="007B290F">
        <w:rPr>
          <w:rFonts w:eastAsia="Times New Roman"/>
          <w:color w:val="000000"/>
          <w:lang w:val="en-PH" w:eastAsia="en-PH"/>
        </w:rPr>
        <w:t xml:space="preserve"> is responsible for the monitoring of the cash position of the department to ensure 100 % utilization of cash as per the monthly cash program. One of the main  functions of the said section is  to  issue  official  receipts  in  the  collection  of  fees  on   Minors  Travelling  Abroad,  Solicitation  Permit, Affiliation fee  and  other  charges  that  serves  as  an  income  of  the agency.  The  Collecting  Officer (Cashier)  is  mandated  to  ensure  that  all  collections  are  deposited  daily to the Bureau of Treasury.</w:t>
      </w:r>
    </w:p>
    <w:p w14:paraId="71379BC3" w14:textId="77777777" w:rsidR="007B290F" w:rsidRPr="007B290F" w:rsidRDefault="007B290F" w:rsidP="007B290F">
      <w:pPr>
        <w:spacing w:line="240" w:lineRule="auto"/>
        <w:rPr>
          <w:rFonts w:eastAsia="Times New Roman"/>
          <w:lang w:val="en-PH" w:eastAsia="en-PH"/>
        </w:rPr>
      </w:pPr>
    </w:p>
    <w:p w14:paraId="7D5F7395" w14:textId="77777777" w:rsidR="007B290F" w:rsidRPr="007B290F" w:rsidRDefault="007B290F" w:rsidP="007B290F">
      <w:pPr>
        <w:spacing w:line="240" w:lineRule="auto"/>
        <w:rPr>
          <w:rFonts w:eastAsia="Times New Roman"/>
          <w:lang w:val="en-PH" w:eastAsia="en-PH"/>
        </w:rPr>
      </w:pPr>
    </w:p>
    <w:p w14:paraId="51E2231F" w14:textId="77777777" w:rsidR="007B290F" w:rsidRPr="007B290F" w:rsidRDefault="007B290F" w:rsidP="007B290F">
      <w:pPr>
        <w:spacing w:after="120" w:line="240" w:lineRule="auto"/>
        <w:jc w:val="both"/>
        <w:rPr>
          <w:rFonts w:eastAsia="Times New Roman"/>
          <w:lang w:val="en-PH" w:eastAsia="en-PH"/>
        </w:rPr>
      </w:pPr>
      <w:r w:rsidRPr="007B290F">
        <w:rPr>
          <w:rFonts w:eastAsia="Times New Roman"/>
          <w:color w:val="000000"/>
          <w:lang w:val="en-PH" w:eastAsia="en-PH"/>
        </w:rPr>
        <w:t xml:space="preserve">The </w:t>
      </w:r>
      <w:r w:rsidRPr="007B290F">
        <w:rPr>
          <w:rFonts w:eastAsia="Times New Roman"/>
          <w:b/>
          <w:bCs/>
          <w:color w:val="000000"/>
          <w:lang w:val="en-PH" w:eastAsia="en-PH"/>
        </w:rPr>
        <w:t>Accounting Section</w:t>
      </w:r>
      <w:r w:rsidRPr="007B290F">
        <w:rPr>
          <w:rFonts w:eastAsia="Times New Roman"/>
          <w:color w:val="000000"/>
          <w:lang w:val="en-PH" w:eastAsia="en-PH"/>
        </w:rPr>
        <w:t xml:space="preserve"> focuses on the preparation of Annual Financial Report.  These reports are prepared in accordance to the Philippine Public Sector Accounting Standards. </w:t>
      </w:r>
      <w:r>
        <w:rPr>
          <w:rFonts w:eastAsia="Times New Roman"/>
          <w:color w:val="000000"/>
          <w:lang w:val="en-PH" w:eastAsia="en-PH"/>
        </w:rPr>
        <w:t>T</w:t>
      </w:r>
      <w:r w:rsidRPr="007B290F">
        <w:rPr>
          <w:rFonts w:eastAsia="Times New Roman"/>
          <w:color w:val="000000"/>
          <w:lang w:val="en-PH" w:eastAsia="en-PH"/>
        </w:rPr>
        <w:t>he section focuses on the submission of liquidation documents and financial claims for post audit.  Also, the section focuses on reconciliation of accounts in compliance with the CY 2021 Audit findings.The following reports are prepared and submitted within the set deadline:</w:t>
      </w:r>
    </w:p>
    <w:p w14:paraId="6B6A502C" w14:textId="77777777" w:rsidR="007B290F" w:rsidRPr="007B290F" w:rsidRDefault="007B290F" w:rsidP="00516AD6">
      <w:pPr>
        <w:numPr>
          <w:ilvl w:val="0"/>
          <w:numId w:val="73"/>
        </w:numPr>
        <w:spacing w:line="240" w:lineRule="auto"/>
        <w:jc w:val="both"/>
        <w:textAlignment w:val="baseline"/>
        <w:rPr>
          <w:rFonts w:eastAsia="Times New Roman"/>
          <w:color w:val="000000"/>
          <w:lang w:val="en-PH" w:eastAsia="en-PH"/>
        </w:rPr>
      </w:pPr>
      <w:r w:rsidRPr="007B290F">
        <w:rPr>
          <w:rFonts w:eastAsia="Times New Roman"/>
          <w:color w:val="000000"/>
          <w:lang w:val="en-PH" w:eastAsia="en-PH"/>
        </w:rPr>
        <w:t>Monthly reports</w:t>
      </w:r>
      <w:r w:rsidRPr="007B290F">
        <w:rPr>
          <w:rFonts w:eastAsia="Times New Roman"/>
          <w:color w:val="000000"/>
          <w:lang w:val="en-PH" w:eastAsia="en-PH"/>
        </w:rPr>
        <w:tab/>
        <w:t> </w:t>
      </w:r>
    </w:p>
    <w:p w14:paraId="6892A81C"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t>Trial Balance including subsidiary ledgers, JEV</w:t>
      </w:r>
    </w:p>
    <w:p w14:paraId="5D482B63"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t>Details of Subsidy Income from National Government</w:t>
      </w:r>
    </w:p>
    <w:p w14:paraId="34B5606A"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t>FAR 4- Report of Disbursement</w:t>
      </w:r>
    </w:p>
    <w:p w14:paraId="2D40881E"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t>Tax Remittance Advice </w:t>
      </w:r>
    </w:p>
    <w:p w14:paraId="1FB2B6ED"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t>BIR EFPS payments </w:t>
      </w:r>
    </w:p>
    <w:p w14:paraId="26205547"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t>Bank Reconciliation Reports</w:t>
      </w:r>
    </w:p>
    <w:p w14:paraId="41743A97"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t>Report on SEA k rollback and repayments</w:t>
      </w:r>
    </w:p>
    <w:p w14:paraId="22F89CBB"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lastRenderedPageBreak/>
        <w:t>Monthly Budget Utilization Report updating thru Google Sheet</w:t>
      </w:r>
    </w:p>
    <w:p w14:paraId="36A17EA9" w14:textId="77777777" w:rsidR="007B290F" w:rsidRPr="007B290F" w:rsidRDefault="007B290F" w:rsidP="00516AD6">
      <w:pPr>
        <w:numPr>
          <w:ilvl w:val="0"/>
          <w:numId w:val="73"/>
        </w:numPr>
        <w:spacing w:line="240" w:lineRule="auto"/>
        <w:jc w:val="both"/>
        <w:textAlignment w:val="baseline"/>
        <w:rPr>
          <w:rFonts w:eastAsia="Times New Roman"/>
          <w:color w:val="000000"/>
          <w:lang w:val="en-PH" w:eastAsia="en-PH"/>
        </w:rPr>
      </w:pPr>
      <w:r w:rsidRPr="007B290F">
        <w:rPr>
          <w:rFonts w:eastAsia="Times New Roman"/>
          <w:color w:val="000000"/>
          <w:lang w:val="en-PH" w:eastAsia="en-PH"/>
        </w:rPr>
        <w:t>Quarterly reports</w:t>
      </w:r>
    </w:p>
    <w:p w14:paraId="6C84F33B"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t>FAR 1, 1a and 1c – Statement of Allotment Obligation Disbursement and Balances as of March 31, 2022</w:t>
      </w:r>
    </w:p>
    <w:p w14:paraId="43741678"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t>Statement of Cash Flows-all funds, as of March 31, 2022</w:t>
      </w:r>
    </w:p>
    <w:p w14:paraId="578ED322"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t>Cumulative Status of Funds (SLP)</w:t>
      </w:r>
    </w:p>
    <w:p w14:paraId="1D469B84"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t>Accumulated Surplus Deficit </w:t>
      </w:r>
    </w:p>
    <w:p w14:paraId="38C8DA77"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t>FAR 5 – Report of Revenue and Other receipts</w:t>
      </w:r>
    </w:p>
    <w:p w14:paraId="0C71D3F6"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t>Far 6 – Budget utilization for Trust Receipts</w:t>
      </w:r>
    </w:p>
    <w:p w14:paraId="05DD37D9" w14:textId="77777777" w:rsidR="007B290F" w:rsidRPr="007B290F" w:rsidRDefault="007B290F" w:rsidP="00516AD6">
      <w:pPr>
        <w:numPr>
          <w:ilvl w:val="1"/>
          <w:numId w:val="73"/>
        </w:numPr>
        <w:spacing w:line="240" w:lineRule="auto"/>
        <w:ind w:left="2790"/>
        <w:jc w:val="both"/>
        <w:textAlignment w:val="baseline"/>
        <w:rPr>
          <w:rFonts w:eastAsia="Times New Roman"/>
          <w:color w:val="000000"/>
          <w:lang w:val="en-PH" w:eastAsia="en-PH"/>
        </w:rPr>
      </w:pPr>
      <w:r w:rsidRPr="007B290F">
        <w:rPr>
          <w:rFonts w:eastAsia="Times New Roman"/>
          <w:color w:val="000000"/>
          <w:lang w:val="en-PH" w:eastAsia="en-PH"/>
        </w:rPr>
        <w:t xml:space="preserve">Status of Unliquidated Cash Advance </w:t>
      </w:r>
      <w:r w:rsidRPr="007B290F">
        <w:rPr>
          <w:rFonts w:eastAsia="Times New Roman"/>
          <w:color w:val="000000"/>
          <w:lang w:val="en-PH" w:eastAsia="en-PH"/>
        </w:rPr>
        <w:br/>
        <w:t>(SUCA)</w:t>
      </w:r>
    </w:p>
    <w:p w14:paraId="12B42B25" w14:textId="77777777" w:rsidR="007B290F" w:rsidRPr="007B290F" w:rsidRDefault="007B290F" w:rsidP="007B290F">
      <w:pPr>
        <w:spacing w:line="240" w:lineRule="auto"/>
        <w:rPr>
          <w:rFonts w:eastAsia="Times New Roman"/>
          <w:lang w:val="en-PH" w:eastAsia="en-PH"/>
        </w:rPr>
      </w:pPr>
    </w:p>
    <w:p w14:paraId="24E7DD78" w14:textId="77777777" w:rsidR="007B290F" w:rsidRPr="007B290F" w:rsidRDefault="007B290F" w:rsidP="007B290F">
      <w:pPr>
        <w:spacing w:line="240" w:lineRule="auto"/>
        <w:ind w:firstLine="720"/>
        <w:jc w:val="both"/>
        <w:rPr>
          <w:rFonts w:eastAsia="Times New Roman"/>
          <w:lang w:val="en-PH" w:eastAsia="en-PH"/>
        </w:rPr>
      </w:pPr>
      <w:r w:rsidRPr="007B290F">
        <w:rPr>
          <w:rFonts w:eastAsia="Times New Roman"/>
          <w:color w:val="000000"/>
          <w:lang w:val="en-PH" w:eastAsia="en-PH"/>
        </w:rPr>
        <w:t>The table below shows the Status Cash Advances as of June 30, 2022:</w:t>
      </w:r>
    </w:p>
    <w:p w14:paraId="6E2812D1" w14:textId="77777777" w:rsidR="007B290F" w:rsidRPr="007B290F" w:rsidRDefault="007B290F" w:rsidP="007B290F">
      <w:pPr>
        <w:spacing w:line="240" w:lineRule="auto"/>
        <w:rPr>
          <w:rFonts w:eastAsia="Times New Roman"/>
          <w:lang w:val="en-PH" w:eastAsia="en-PH"/>
        </w:rPr>
      </w:pPr>
    </w:p>
    <w:tbl>
      <w:tblPr>
        <w:tblW w:w="0" w:type="auto"/>
        <w:tblCellMar>
          <w:top w:w="15" w:type="dxa"/>
          <w:left w:w="15" w:type="dxa"/>
          <w:bottom w:w="15" w:type="dxa"/>
          <w:right w:w="15" w:type="dxa"/>
        </w:tblCellMar>
        <w:tblLook w:val="04A0" w:firstRow="1" w:lastRow="0" w:firstColumn="1" w:lastColumn="0" w:noHBand="0" w:noVBand="1"/>
      </w:tblPr>
      <w:tblGrid>
        <w:gridCol w:w="1622"/>
        <w:gridCol w:w="1866"/>
        <w:gridCol w:w="1986"/>
        <w:gridCol w:w="1943"/>
        <w:gridCol w:w="1857"/>
      </w:tblGrid>
      <w:tr w:rsidR="007B290F" w:rsidRPr="007B290F" w14:paraId="4B33B083" w14:textId="77777777" w:rsidTr="007B290F">
        <w:trPr>
          <w:trHeight w:val="9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66CE0B"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Particulars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B480D"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Balance as of March 25, 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07DC36"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Granted for the period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7D405"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Liquidations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AD7378"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Balance as of June 30, 2022</w:t>
            </w:r>
          </w:p>
        </w:tc>
      </w:tr>
      <w:tr w:rsidR="007B290F" w:rsidRPr="007B290F" w14:paraId="065BA87C" w14:textId="77777777" w:rsidTr="007B290F">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77D57" w14:textId="77777777" w:rsidR="007B290F" w:rsidRPr="007B290F" w:rsidRDefault="007B290F" w:rsidP="007B290F">
            <w:pPr>
              <w:spacing w:after="200" w:line="240" w:lineRule="auto"/>
              <w:rPr>
                <w:rFonts w:eastAsia="Times New Roman"/>
                <w:lang w:val="en-PH" w:eastAsia="en-PH"/>
              </w:rPr>
            </w:pPr>
            <w:r w:rsidRPr="007B290F">
              <w:rPr>
                <w:rFonts w:eastAsia="Times New Roman"/>
                <w:color w:val="000000"/>
                <w:lang w:val="en-PH" w:eastAsia="en-PH"/>
              </w:rPr>
              <w:t>Cash Adv. to Special Disbursing Officers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02DB9"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555,804,106.15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C6F81C"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976,656,891.11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92535"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942,178,742.30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556B2"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590,282,254.96</w:t>
            </w:r>
          </w:p>
        </w:tc>
      </w:tr>
      <w:tr w:rsidR="007B290F" w:rsidRPr="007B290F" w14:paraId="6D264F13" w14:textId="77777777" w:rsidTr="007B290F">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5B4AE8" w14:textId="77777777" w:rsidR="007B290F" w:rsidRPr="007B290F" w:rsidRDefault="007B290F" w:rsidP="007B290F">
            <w:pPr>
              <w:spacing w:after="200" w:line="240" w:lineRule="auto"/>
              <w:rPr>
                <w:rFonts w:eastAsia="Times New Roman"/>
                <w:lang w:val="en-PH" w:eastAsia="en-PH"/>
              </w:rPr>
            </w:pPr>
            <w:r w:rsidRPr="007B290F">
              <w:rPr>
                <w:rFonts w:eastAsia="Times New Roman"/>
                <w:color w:val="000000"/>
                <w:lang w:val="en-PH" w:eastAsia="en-PH"/>
              </w:rPr>
              <w:t>Due from  NGA’s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5600E"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4,155,525.00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2AE49"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527,083.47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4FF02"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1,828,452.80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7DD6C"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2,854,155.67</w:t>
            </w:r>
          </w:p>
        </w:tc>
      </w:tr>
      <w:tr w:rsidR="007B290F" w:rsidRPr="007B290F" w14:paraId="1475349C" w14:textId="77777777" w:rsidTr="007B290F">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479BF" w14:textId="77777777" w:rsidR="007B290F" w:rsidRPr="007B290F" w:rsidRDefault="007B290F" w:rsidP="007B290F">
            <w:pPr>
              <w:spacing w:after="200" w:line="240" w:lineRule="auto"/>
              <w:rPr>
                <w:rFonts w:eastAsia="Times New Roman"/>
                <w:lang w:val="en-PH" w:eastAsia="en-PH"/>
              </w:rPr>
            </w:pPr>
            <w:r w:rsidRPr="007B290F">
              <w:rPr>
                <w:rFonts w:eastAsia="Times New Roman"/>
                <w:color w:val="000000"/>
                <w:lang w:val="en-PH" w:eastAsia="en-PH"/>
              </w:rPr>
              <w:t>Due from  LGU’s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F7951"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137,781,825.08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DE5AD"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80,018,482.93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1021B"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117,655,489.29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A7AC8"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100,144,818.72</w:t>
            </w:r>
          </w:p>
        </w:tc>
      </w:tr>
      <w:tr w:rsidR="007B290F" w:rsidRPr="007B290F" w14:paraId="615329DB" w14:textId="77777777" w:rsidTr="007B290F">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6FF200" w14:textId="77777777" w:rsidR="007B290F" w:rsidRPr="007B290F" w:rsidRDefault="007B290F" w:rsidP="007B290F">
            <w:pPr>
              <w:spacing w:after="200" w:line="240" w:lineRule="auto"/>
              <w:rPr>
                <w:rFonts w:eastAsia="Times New Roman"/>
                <w:lang w:val="en-PH" w:eastAsia="en-PH"/>
              </w:rPr>
            </w:pPr>
            <w:r w:rsidRPr="007B290F">
              <w:rPr>
                <w:rFonts w:eastAsia="Times New Roman"/>
                <w:color w:val="000000"/>
                <w:lang w:val="en-PH" w:eastAsia="en-PH"/>
              </w:rPr>
              <w:t>Due from NGO’s /PO’s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3E615"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448,526.13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BE85AE" w14:textId="77777777" w:rsidR="007B290F" w:rsidRPr="007B290F" w:rsidRDefault="007B290F" w:rsidP="007B290F">
            <w:pPr>
              <w:spacing w:line="240" w:lineRule="auto"/>
              <w:rPr>
                <w:rFonts w:eastAsia="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B13B7" w14:textId="77777777" w:rsidR="007B290F" w:rsidRPr="007B290F" w:rsidRDefault="007B290F" w:rsidP="007B290F">
            <w:pPr>
              <w:spacing w:line="240" w:lineRule="auto"/>
              <w:rPr>
                <w:rFonts w:eastAsia="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03377"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448,526.13</w:t>
            </w:r>
          </w:p>
        </w:tc>
      </w:tr>
      <w:tr w:rsidR="007B290F" w:rsidRPr="007B290F" w14:paraId="5A0596D3" w14:textId="77777777" w:rsidTr="007B290F">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9974A" w14:textId="77777777" w:rsidR="007B290F" w:rsidRPr="007B290F" w:rsidRDefault="007B290F" w:rsidP="007B290F">
            <w:pPr>
              <w:spacing w:after="200" w:line="240" w:lineRule="auto"/>
              <w:rPr>
                <w:rFonts w:eastAsia="Times New Roman"/>
                <w:lang w:val="en-PH" w:eastAsia="en-PH"/>
              </w:rPr>
            </w:pPr>
            <w:r w:rsidRPr="007B290F">
              <w:rPr>
                <w:rFonts w:eastAsia="Times New Roman"/>
                <w:color w:val="000000"/>
                <w:lang w:val="en-PH" w:eastAsia="en-PH"/>
              </w:rPr>
              <w:t>Cash Adv. To Officers /Employees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ADDED5"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201,680.68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A48E7"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1,602,852.32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B903F"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791,387.37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9A1EB"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color w:val="000000"/>
                <w:lang w:val="en-PH" w:eastAsia="en-PH"/>
              </w:rPr>
              <w:t>1,013,145.66</w:t>
            </w:r>
          </w:p>
        </w:tc>
      </w:tr>
      <w:tr w:rsidR="007B290F" w:rsidRPr="007B290F" w14:paraId="2E4A1D48" w14:textId="77777777" w:rsidTr="007B290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78106B" w14:textId="77777777" w:rsidR="007B290F" w:rsidRPr="007B290F" w:rsidRDefault="007B290F" w:rsidP="007B290F">
            <w:pPr>
              <w:spacing w:after="200" w:line="240" w:lineRule="auto"/>
              <w:rPr>
                <w:rFonts w:eastAsia="Times New Roman"/>
                <w:lang w:val="en-PH" w:eastAsia="en-PH"/>
              </w:rPr>
            </w:pPr>
            <w:r w:rsidRPr="007B290F">
              <w:rPr>
                <w:rFonts w:eastAsia="Times New Roman"/>
                <w:b/>
                <w:bCs/>
                <w:color w:val="000000"/>
                <w:lang w:val="en-PH" w:eastAsia="en-PH"/>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AA4B3"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b/>
                <w:bCs/>
                <w:color w:val="000000"/>
                <w:lang w:val="en-PH" w:eastAsia="en-PH"/>
              </w:rPr>
              <w:t>698,391,663.04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D39FA"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b/>
                <w:bCs/>
                <w:color w:val="000000"/>
                <w:lang w:val="en-PH" w:eastAsia="en-PH"/>
              </w:rPr>
              <w:t>1,058,805,309.83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5E238"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b/>
                <w:bCs/>
                <w:color w:val="000000"/>
                <w:lang w:val="en-PH" w:eastAsia="en-PH"/>
              </w:rPr>
              <w:t>1,062,454,071.73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4533D" w14:textId="77777777" w:rsidR="007B290F" w:rsidRPr="007B290F" w:rsidRDefault="007B290F" w:rsidP="007B290F">
            <w:pPr>
              <w:spacing w:after="200" w:line="240" w:lineRule="auto"/>
              <w:jc w:val="right"/>
              <w:rPr>
                <w:rFonts w:eastAsia="Times New Roman"/>
                <w:lang w:val="en-PH" w:eastAsia="en-PH"/>
              </w:rPr>
            </w:pPr>
            <w:r w:rsidRPr="007B290F">
              <w:rPr>
                <w:rFonts w:eastAsia="Times New Roman"/>
                <w:b/>
                <w:bCs/>
                <w:color w:val="000000"/>
                <w:lang w:val="en-PH" w:eastAsia="en-PH"/>
              </w:rPr>
              <w:t>694,742,901.14</w:t>
            </w:r>
          </w:p>
        </w:tc>
      </w:tr>
    </w:tbl>
    <w:p w14:paraId="6C522FFD" w14:textId="77777777" w:rsidR="007B290F" w:rsidRPr="007B290F" w:rsidRDefault="007B290F" w:rsidP="007B290F">
      <w:pPr>
        <w:spacing w:line="240" w:lineRule="auto"/>
        <w:rPr>
          <w:rFonts w:eastAsia="Times New Roman"/>
          <w:lang w:val="en-PH" w:eastAsia="en-PH"/>
        </w:rPr>
      </w:pPr>
    </w:p>
    <w:p w14:paraId="2807FF23" w14:textId="3D4151D4" w:rsidR="007B290F" w:rsidRPr="007B290F" w:rsidRDefault="007B290F" w:rsidP="00023229">
      <w:pPr>
        <w:spacing w:after="120" w:line="240" w:lineRule="auto"/>
        <w:jc w:val="both"/>
        <w:rPr>
          <w:rFonts w:eastAsia="Times New Roman"/>
          <w:lang w:val="en-PH" w:eastAsia="en-PH"/>
        </w:rPr>
      </w:pPr>
      <w:r w:rsidRPr="007B290F">
        <w:rPr>
          <w:rFonts w:eastAsia="Times New Roman"/>
          <w:color w:val="000000"/>
          <w:lang w:val="en-PH" w:eastAsia="en-PH"/>
        </w:rPr>
        <w:t xml:space="preserve">Due from NGAs represents undelivered purchases of office supplies from the Department of Budget and food supplies for the implementation of SFP to NFA and </w:t>
      </w:r>
      <w:r w:rsidR="008F295F">
        <w:rPr>
          <w:rFonts w:eastAsia="Times New Roman"/>
          <w:color w:val="000000"/>
          <w:lang w:val="en-PH" w:eastAsia="en-PH"/>
        </w:rPr>
        <w:t xml:space="preserve">a </w:t>
      </w:r>
      <w:r w:rsidRPr="007B290F">
        <w:rPr>
          <w:rFonts w:eastAsia="Times New Roman"/>
          <w:color w:val="000000"/>
          <w:lang w:val="en-PH" w:eastAsia="en-PH"/>
        </w:rPr>
        <w:t xml:space="preserve">research </w:t>
      </w:r>
      <w:r w:rsidR="008F295F">
        <w:rPr>
          <w:rFonts w:eastAsia="Times New Roman"/>
          <w:color w:val="000000"/>
          <w:lang w:val="en-PH" w:eastAsia="en-PH"/>
        </w:rPr>
        <w:t xml:space="preserve">study </w:t>
      </w:r>
      <w:r w:rsidRPr="007B290F">
        <w:rPr>
          <w:rFonts w:eastAsia="Times New Roman"/>
          <w:color w:val="000000"/>
          <w:lang w:val="en-PH" w:eastAsia="en-PH"/>
        </w:rPr>
        <w:t>conducted by the Cagayan State University.</w:t>
      </w:r>
    </w:p>
    <w:p w14:paraId="350E9C6F" w14:textId="0DED123A" w:rsidR="007B290F" w:rsidRPr="007B290F" w:rsidRDefault="007B290F" w:rsidP="00023229">
      <w:pPr>
        <w:spacing w:after="120" w:line="240" w:lineRule="auto"/>
        <w:jc w:val="both"/>
        <w:rPr>
          <w:rFonts w:eastAsia="Times New Roman"/>
          <w:lang w:val="en-PH" w:eastAsia="en-PH"/>
        </w:rPr>
      </w:pPr>
      <w:r w:rsidRPr="007B290F">
        <w:rPr>
          <w:rFonts w:eastAsia="Times New Roman"/>
          <w:color w:val="000000"/>
          <w:lang w:val="en-PH" w:eastAsia="en-PH"/>
        </w:rPr>
        <w:t>Due from LGUs represents fund transferred for the implementation of Supplemental Feeding Program, grants for the implementation of Kalahi-CIDSS, for the provision of stipend of Senior citizens 60 years old and above, implementation of expanded AICS, and implementation of BUB projects.  </w:t>
      </w:r>
    </w:p>
    <w:p w14:paraId="0C941E6D" w14:textId="5AE0F73D" w:rsidR="007B290F" w:rsidRPr="007B290F" w:rsidRDefault="007B290F" w:rsidP="00023229">
      <w:pPr>
        <w:spacing w:after="120" w:line="240" w:lineRule="auto"/>
        <w:jc w:val="both"/>
        <w:rPr>
          <w:rFonts w:eastAsia="Times New Roman"/>
          <w:lang w:val="en-PH" w:eastAsia="en-PH"/>
        </w:rPr>
      </w:pPr>
      <w:r w:rsidRPr="007B290F">
        <w:rPr>
          <w:rFonts w:eastAsia="Times New Roman"/>
          <w:color w:val="000000"/>
          <w:lang w:val="en-PH" w:eastAsia="en-PH"/>
        </w:rPr>
        <w:t>Due from NGOs /POs represents fund transfers to accredited Civil Society Organizations purposely for the family development sessions for Pantawid Pamilya and to Day Care Federations for the supplemental feeding program. This amount is subject to the request for write-off pending the compliance to the supporting documents for the grant of request.</w:t>
      </w:r>
    </w:p>
    <w:p w14:paraId="295FF5BE" w14:textId="77777777" w:rsidR="007B290F" w:rsidRPr="007B290F" w:rsidRDefault="007B290F" w:rsidP="00023229">
      <w:pPr>
        <w:spacing w:after="120" w:line="240" w:lineRule="auto"/>
        <w:jc w:val="both"/>
        <w:rPr>
          <w:rFonts w:eastAsia="Times New Roman"/>
          <w:lang w:val="en-PH" w:eastAsia="en-PH"/>
        </w:rPr>
      </w:pPr>
      <w:r w:rsidRPr="007B290F">
        <w:rPr>
          <w:rFonts w:eastAsia="Times New Roman"/>
          <w:color w:val="000000"/>
          <w:lang w:val="en-PH" w:eastAsia="en-PH"/>
        </w:rPr>
        <w:t>Cash Advances to Special Disbursing Officers represent operational expenses for the implementation of programs in the region issued to the cashier and other bonded special disbursing officers.</w:t>
      </w:r>
    </w:p>
    <w:p w14:paraId="61635210" w14:textId="77777777" w:rsidR="007B290F" w:rsidRPr="007B290F" w:rsidRDefault="007B290F" w:rsidP="00023229">
      <w:pPr>
        <w:spacing w:after="120" w:line="240" w:lineRule="auto"/>
        <w:jc w:val="both"/>
        <w:rPr>
          <w:rFonts w:eastAsia="Times New Roman"/>
          <w:lang w:val="en-PH" w:eastAsia="en-PH"/>
        </w:rPr>
      </w:pPr>
      <w:r w:rsidRPr="007B290F">
        <w:rPr>
          <w:rFonts w:eastAsia="Times New Roman"/>
          <w:color w:val="000000"/>
          <w:lang w:val="en-PH" w:eastAsia="en-PH"/>
        </w:rPr>
        <w:t>Accounting Section was able to process and certify 2,794 financial claims as to the availability of cash and completeness of supporting documents.  Also, this section has certified 369 Purchase Orders and Proposals as to the availability of funds and also prepared 16 Accounting certifications for GSIS/PHIC/Pag-IBIG/SSS remittances from March 30 to June 30 2022.</w:t>
      </w:r>
    </w:p>
    <w:p w14:paraId="3A501A10" w14:textId="77777777" w:rsidR="007B290F" w:rsidRPr="007B290F" w:rsidRDefault="007B290F" w:rsidP="007B290F">
      <w:pPr>
        <w:spacing w:line="240" w:lineRule="auto"/>
        <w:rPr>
          <w:rFonts w:eastAsia="Times New Roman"/>
          <w:lang w:val="en-PH" w:eastAsia="en-PH"/>
        </w:rPr>
      </w:pPr>
    </w:p>
    <w:p w14:paraId="2E04A105" w14:textId="6E2F4B62" w:rsidR="007B290F" w:rsidRPr="007B290F" w:rsidRDefault="007B290F" w:rsidP="00023229">
      <w:pPr>
        <w:spacing w:after="120" w:line="240" w:lineRule="auto"/>
        <w:rPr>
          <w:rFonts w:eastAsia="Times New Roman"/>
          <w:lang w:val="en-PH" w:eastAsia="en-PH"/>
        </w:rPr>
      </w:pPr>
      <w:r w:rsidRPr="007B290F">
        <w:rPr>
          <w:rFonts w:eastAsia="Times New Roman"/>
          <w:color w:val="000000"/>
          <w:lang w:val="en-PH" w:eastAsia="en-PH"/>
        </w:rPr>
        <w:t>The Budget Section timely submitted two (3) Statement of Allotment, Obligation and Balances (SAOB) reports for the months of April, May and June respectively and complied in the completion of Budget Utilization Report before every 5th of the following month thru the google sheet. (Set deadline is every 5th of the following month)</w:t>
      </w:r>
    </w:p>
    <w:p w14:paraId="02A2020E" w14:textId="77777777" w:rsidR="007B290F" w:rsidRPr="007B290F" w:rsidRDefault="007B290F" w:rsidP="00023229">
      <w:pPr>
        <w:spacing w:after="120" w:line="240" w:lineRule="auto"/>
        <w:rPr>
          <w:rFonts w:eastAsia="Times New Roman"/>
          <w:lang w:val="en-PH" w:eastAsia="en-PH"/>
        </w:rPr>
      </w:pPr>
      <w:r w:rsidRPr="007B290F">
        <w:rPr>
          <w:rFonts w:eastAsia="Times New Roman"/>
          <w:color w:val="000000"/>
          <w:lang w:val="en-PH" w:eastAsia="en-PH"/>
        </w:rPr>
        <w:t xml:space="preserve">Overall Budget Utilization Rate of Current and Continuing Appropriations for the second (2nd) quarter </w:t>
      </w:r>
      <w:r w:rsidRPr="007B290F">
        <w:rPr>
          <w:rFonts w:eastAsia="Times New Roman"/>
          <w:b/>
          <w:bCs/>
          <w:color w:val="000000"/>
          <w:lang w:val="en-PH" w:eastAsia="en-PH"/>
        </w:rPr>
        <w:t>is 50.30%.</w:t>
      </w:r>
      <w:r w:rsidRPr="007B290F">
        <w:rPr>
          <w:rFonts w:eastAsia="Times New Roman"/>
          <w:color w:val="000000"/>
          <w:lang w:val="en-PH" w:eastAsia="en-PH"/>
        </w:rPr>
        <w:t xml:space="preserve"> The Current Fund Utilization Rate is </w:t>
      </w:r>
      <w:r w:rsidRPr="007B290F">
        <w:rPr>
          <w:rFonts w:eastAsia="Times New Roman"/>
          <w:b/>
          <w:bCs/>
          <w:color w:val="000000"/>
          <w:lang w:val="en-PH" w:eastAsia="en-PH"/>
        </w:rPr>
        <w:t>49.20%</w:t>
      </w:r>
      <w:r w:rsidRPr="007B290F">
        <w:rPr>
          <w:rFonts w:eastAsia="Times New Roman"/>
          <w:color w:val="000000"/>
          <w:lang w:val="en-PH" w:eastAsia="en-PH"/>
        </w:rPr>
        <w:t xml:space="preserve"> and the Continuing Fund Utilization Rate is </w:t>
      </w:r>
      <w:r w:rsidRPr="007B290F">
        <w:rPr>
          <w:rFonts w:eastAsia="Times New Roman"/>
          <w:b/>
          <w:bCs/>
          <w:color w:val="000000"/>
          <w:lang w:val="en-PH" w:eastAsia="en-PH"/>
        </w:rPr>
        <w:t>64.96%.</w:t>
      </w:r>
    </w:p>
    <w:p w14:paraId="1C358045" w14:textId="77777777" w:rsidR="007B290F" w:rsidRPr="007B290F" w:rsidRDefault="007B290F" w:rsidP="007B290F">
      <w:pPr>
        <w:spacing w:line="240" w:lineRule="auto"/>
        <w:jc w:val="both"/>
        <w:rPr>
          <w:rFonts w:eastAsia="Times New Roman"/>
          <w:lang w:val="en-PH" w:eastAsia="en-PH"/>
        </w:rPr>
      </w:pPr>
      <w:r w:rsidRPr="007B290F">
        <w:rPr>
          <w:rFonts w:eastAsia="Times New Roman"/>
          <w:b/>
          <w:bCs/>
          <w:color w:val="000000"/>
          <w:lang w:val="en-PH" w:eastAsia="en-PH"/>
        </w:rPr>
        <w:t> Current Appropriations: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46"/>
        <w:gridCol w:w="2126"/>
        <w:gridCol w:w="2460"/>
        <w:gridCol w:w="2771"/>
        <w:gridCol w:w="1071"/>
      </w:tblGrid>
      <w:tr w:rsidR="007B290F" w:rsidRPr="007B290F" w14:paraId="2345659E" w14:textId="77777777" w:rsidTr="00036C85">
        <w:trPr>
          <w:trHeight w:val="327"/>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869EDA"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Class</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88DC21"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Allotment</w:t>
            </w: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7183AD"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Obligations</w:t>
            </w:r>
          </w:p>
        </w:tc>
        <w:tc>
          <w:tcPr>
            <w:tcW w:w="2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D56BB2"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Balances</w:t>
            </w:r>
          </w:p>
        </w:tc>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91826E"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Utilization Rate</w:t>
            </w:r>
          </w:p>
        </w:tc>
      </w:tr>
      <w:tr w:rsidR="007B290F" w:rsidRPr="007B290F" w14:paraId="78355296" w14:textId="77777777" w:rsidTr="00036C85">
        <w:trPr>
          <w:trHeight w:val="327"/>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5825F5" w14:textId="77777777" w:rsidR="007B290F" w:rsidRPr="007B290F" w:rsidRDefault="007B290F" w:rsidP="007B290F">
            <w:pPr>
              <w:spacing w:after="200" w:line="240" w:lineRule="auto"/>
              <w:rPr>
                <w:rFonts w:eastAsia="Times New Roman"/>
                <w:lang w:val="en-PH" w:eastAsia="en-PH"/>
              </w:rPr>
            </w:pPr>
            <w:r w:rsidRPr="007B290F">
              <w:rPr>
                <w:rFonts w:eastAsia="Times New Roman"/>
                <w:color w:val="000000"/>
                <w:lang w:val="en-PH" w:eastAsia="en-PH"/>
              </w:rPr>
              <w:t>PS</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B50464" w14:textId="62BCE8FC" w:rsidR="007B290F" w:rsidRPr="007B290F" w:rsidRDefault="00036C85" w:rsidP="007B290F">
            <w:pPr>
              <w:spacing w:line="240" w:lineRule="auto"/>
              <w:jc w:val="right"/>
              <w:rPr>
                <w:rFonts w:eastAsia="Times New Roman"/>
                <w:lang w:val="en-PH" w:eastAsia="en-PH"/>
              </w:rPr>
            </w:pPr>
            <w:r>
              <w:rPr>
                <w:rFonts w:eastAsia="Times New Roman"/>
                <w:color w:val="000000"/>
                <w:lang w:val="en-PH" w:eastAsia="en-PH"/>
              </w:rPr>
              <w:t xml:space="preserve">  </w:t>
            </w:r>
            <w:r w:rsidR="007B290F" w:rsidRPr="007B290F">
              <w:rPr>
                <w:rFonts w:eastAsia="Times New Roman"/>
                <w:color w:val="000000"/>
                <w:lang w:val="en-PH" w:eastAsia="en-PH"/>
              </w:rPr>
              <w:t>286,727,993.00 </w:t>
            </w: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7648BE" w14:textId="2BD2F5FF"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xml:space="preserve">          138,821,062.58 </w:t>
            </w:r>
          </w:p>
        </w:tc>
        <w:tc>
          <w:tcPr>
            <w:tcW w:w="2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D187C0" w14:textId="18D0B153" w:rsidR="007B290F" w:rsidRPr="007B290F" w:rsidRDefault="007B290F" w:rsidP="00036C85">
            <w:pPr>
              <w:spacing w:line="240" w:lineRule="auto"/>
              <w:rPr>
                <w:rFonts w:eastAsia="Times New Roman"/>
                <w:lang w:val="en-PH" w:eastAsia="en-PH"/>
              </w:rPr>
            </w:pPr>
            <w:r w:rsidRPr="007B290F">
              <w:rPr>
                <w:rFonts w:eastAsia="Times New Roman"/>
                <w:color w:val="000000"/>
                <w:lang w:val="en-PH" w:eastAsia="en-PH"/>
              </w:rPr>
              <w:t>                  147,906,930.42 </w:t>
            </w:r>
          </w:p>
        </w:tc>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051ABB7" w14:textId="77777777" w:rsidR="007B290F" w:rsidRPr="007B290F" w:rsidRDefault="007B290F" w:rsidP="007B290F">
            <w:pPr>
              <w:spacing w:line="240" w:lineRule="auto"/>
              <w:jc w:val="center"/>
              <w:rPr>
                <w:rFonts w:eastAsia="Times New Roman"/>
                <w:lang w:val="en-PH" w:eastAsia="en-PH"/>
              </w:rPr>
            </w:pPr>
            <w:r w:rsidRPr="007B290F">
              <w:rPr>
                <w:rFonts w:eastAsia="Times New Roman"/>
                <w:b/>
                <w:bCs/>
                <w:color w:val="000000"/>
                <w:lang w:val="en-PH" w:eastAsia="en-PH"/>
              </w:rPr>
              <w:t>48.42%</w:t>
            </w:r>
          </w:p>
        </w:tc>
      </w:tr>
      <w:tr w:rsidR="007B290F" w:rsidRPr="007B290F" w14:paraId="14B2E6A4" w14:textId="77777777" w:rsidTr="00036C85">
        <w:trPr>
          <w:trHeight w:val="300"/>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AE2CCB" w14:textId="77777777" w:rsidR="007B290F" w:rsidRPr="007B290F" w:rsidRDefault="007B290F" w:rsidP="007B290F">
            <w:pPr>
              <w:spacing w:after="200" w:line="240" w:lineRule="auto"/>
              <w:rPr>
                <w:rFonts w:eastAsia="Times New Roman"/>
                <w:lang w:val="en-PH" w:eastAsia="en-PH"/>
              </w:rPr>
            </w:pPr>
            <w:r w:rsidRPr="007B290F">
              <w:rPr>
                <w:rFonts w:eastAsia="Times New Roman"/>
                <w:color w:val="000000"/>
                <w:lang w:val="en-PH" w:eastAsia="en-PH"/>
              </w:rPr>
              <w:t>MOOE</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F93B98" w14:textId="0A1C29B3" w:rsidR="007B290F" w:rsidRPr="007B290F" w:rsidRDefault="007B290F" w:rsidP="00036C85">
            <w:pPr>
              <w:spacing w:line="240" w:lineRule="auto"/>
              <w:rPr>
                <w:rFonts w:eastAsia="Times New Roman"/>
                <w:lang w:val="en-PH" w:eastAsia="en-PH"/>
              </w:rPr>
            </w:pPr>
            <w:r w:rsidRPr="007B290F">
              <w:rPr>
                <w:rFonts w:eastAsia="Times New Roman"/>
                <w:color w:val="000000"/>
                <w:lang w:val="en-PH" w:eastAsia="en-PH"/>
              </w:rPr>
              <w:t xml:space="preserve"> 3,455,142,614.58 </w:t>
            </w: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6FF384" w14:textId="4715D681" w:rsidR="007B290F" w:rsidRPr="007B290F" w:rsidRDefault="00036C85" w:rsidP="00036C85">
            <w:pPr>
              <w:spacing w:line="240" w:lineRule="auto"/>
              <w:jc w:val="right"/>
              <w:rPr>
                <w:rFonts w:eastAsia="Times New Roman"/>
                <w:lang w:val="en-PH" w:eastAsia="en-PH"/>
              </w:rPr>
            </w:pPr>
            <w:r>
              <w:rPr>
                <w:rFonts w:eastAsia="Times New Roman"/>
                <w:color w:val="000000"/>
                <w:lang w:val="en-PH" w:eastAsia="en-PH"/>
              </w:rPr>
              <w:t>       </w:t>
            </w:r>
            <w:r w:rsidR="007B290F" w:rsidRPr="007B290F">
              <w:rPr>
                <w:rFonts w:eastAsia="Times New Roman"/>
                <w:color w:val="000000"/>
                <w:lang w:val="en-PH" w:eastAsia="en-PH"/>
              </w:rPr>
              <w:t>1,704,260,995.77 </w:t>
            </w:r>
          </w:p>
        </w:tc>
        <w:tc>
          <w:tcPr>
            <w:tcW w:w="2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DDB265"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xml:space="preserve">                       1,750,881,618.81 </w:t>
            </w:r>
          </w:p>
        </w:tc>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11A34F" w14:textId="77777777" w:rsidR="007B290F" w:rsidRPr="007B290F" w:rsidRDefault="007B290F" w:rsidP="007B290F">
            <w:pPr>
              <w:spacing w:line="240" w:lineRule="auto"/>
              <w:jc w:val="center"/>
              <w:rPr>
                <w:rFonts w:eastAsia="Times New Roman"/>
                <w:lang w:val="en-PH" w:eastAsia="en-PH"/>
              </w:rPr>
            </w:pPr>
            <w:r w:rsidRPr="007B290F">
              <w:rPr>
                <w:rFonts w:eastAsia="Times New Roman"/>
                <w:b/>
                <w:bCs/>
                <w:color w:val="000000"/>
                <w:lang w:val="en-PH" w:eastAsia="en-PH"/>
              </w:rPr>
              <w:t>49.33%</w:t>
            </w:r>
          </w:p>
        </w:tc>
      </w:tr>
      <w:tr w:rsidR="007B290F" w:rsidRPr="007B290F" w14:paraId="0B24C2DF" w14:textId="77777777" w:rsidTr="00036C85">
        <w:trPr>
          <w:trHeight w:val="300"/>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46EC5C" w14:textId="77777777" w:rsidR="007B290F" w:rsidRPr="007B290F" w:rsidRDefault="007B290F" w:rsidP="007B290F">
            <w:pPr>
              <w:spacing w:after="200" w:line="240" w:lineRule="auto"/>
              <w:rPr>
                <w:rFonts w:eastAsia="Times New Roman"/>
                <w:lang w:val="en-PH" w:eastAsia="en-PH"/>
              </w:rPr>
            </w:pPr>
            <w:r w:rsidRPr="007B290F">
              <w:rPr>
                <w:rFonts w:eastAsia="Times New Roman"/>
                <w:color w:val="000000"/>
                <w:lang w:val="en-PH" w:eastAsia="en-PH"/>
              </w:rPr>
              <w:t>RLIP</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E64389" w14:textId="4B2C4B68" w:rsidR="007B290F" w:rsidRPr="007B290F" w:rsidRDefault="00036C85" w:rsidP="007B290F">
            <w:pPr>
              <w:spacing w:line="240" w:lineRule="auto"/>
              <w:jc w:val="right"/>
              <w:rPr>
                <w:rFonts w:eastAsia="Times New Roman"/>
                <w:lang w:val="en-PH" w:eastAsia="en-PH"/>
              </w:rPr>
            </w:pPr>
            <w:r>
              <w:rPr>
                <w:rFonts w:eastAsia="Times New Roman"/>
                <w:color w:val="000000"/>
                <w:lang w:val="en-PH" w:eastAsia="en-PH"/>
              </w:rPr>
              <w:t xml:space="preserve">     </w:t>
            </w:r>
            <w:r w:rsidR="007B290F" w:rsidRPr="007B290F">
              <w:rPr>
                <w:rFonts w:eastAsia="Times New Roman"/>
                <w:color w:val="000000"/>
                <w:lang w:val="en-PH" w:eastAsia="en-PH"/>
              </w:rPr>
              <w:t xml:space="preserve">   4,894,000.00 </w:t>
            </w: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B9CEDD" w14:textId="7F9894A4" w:rsidR="007B290F" w:rsidRPr="007B290F" w:rsidRDefault="00036C85" w:rsidP="007B290F">
            <w:pPr>
              <w:spacing w:line="240" w:lineRule="auto"/>
              <w:jc w:val="right"/>
              <w:rPr>
                <w:rFonts w:eastAsia="Times New Roman"/>
                <w:lang w:val="en-PH" w:eastAsia="en-PH"/>
              </w:rPr>
            </w:pPr>
            <w:r>
              <w:rPr>
                <w:rFonts w:eastAsia="Times New Roman"/>
                <w:color w:val="000000"/>
                <w:lang w:val="en-PH" w:eastAsia="en-PH"/>
              </w:rPr>
              <w:t xml:space="preserve">      </w:t>
            </w:r>
            <w:r w:rsidR="007B290F" w:rsidRPr="007B290F">
              <w:rPr>
                <w:rFonts w:eastAsia="Times New Roman"/>
                <w:color w:val="000000"/>
                <w:lang w:val="en-PH" w:eastAsia="en-PH"/>
              </w:rPr>
              <w:t xml:space="preserve">         2,367,714.98 </w:t>
            </w:r>
          </w:p>
        </w:tc>
        <w:tc>
          <w:tcPr>
            <w:tcW w:w="2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41C3EF" w14:textId="5B4F78FA" w:rsidR="007B290F" w:rsidRPr="007B290F" w:rsidRDefault="00036C85" w:rsidP="007B290F">
            <w:pPr>
              <w:spacing w:line="240" w:lineRule="auto"/>
              <w:jc w:val="right"/>
              <w:rPr>
                <w:rFonts w:eastAsia="Times New Roman"/>
                <w:lang w:val="en-PH" w:eastAsia="en-PH"/>
              </w:rPr>
            </w:pPr>
            <w:r>
              <w:rPr>
                <w:rFonts w:eastAsia="Times New Roman"/>
                <w:color w:val="000000"/>
                <w:lang w:val="en-PH" w:eastAsia="en-PH"/>
              </w:rPr>
              <w:t xml:space="preserve">            </w:t>
            </w:r>
            <w:r w:rsidR="007B290F" w:rsidRPr="007B290F">
              <w:rPr>
                <w:rFonts w:eastAsia="Times New Roman"/>
                <w:color w:val="000000"/>
                <w:lang w:val="en-PH" w:eastAsia="en-PH"/>
              </w:rPr>
              <w:t>        2,526,285.02 </w:t>
            </w:r>
          </w:p>
        </w:tc>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0684E2" w14:textId="77777777" w:rsidR="007B290F" w:rsidRPr="007B290F" w:rsidRDefault="007B290F" w:rsidP="007B290F">
            <w:pPr>
              <w:spacing w:line="240" w:lineRule="auto"/>
              <w:jc w:val="center"/>
              <w:rPr>
                <w:rFonts w:eastAsia="Times New Roman"/>
                <w:lang w:val="en-PH" w:eastAsia="en-PH"/>
              </w:rPr>
            </w:pPr>
            <w:r w:rsidRPr="007B290F">
              <w:rPr>
                <w:rFonts w:eastAsia="Times New Roman"/>
                <w:b/>
                <w:bCs/>
                <w:color w:val="000000"/>
                <w:lang w:val="en-PH" w:eastAsia="en-PH"/>
              </w:rPr>
              <w:t>48.38%</w:t>
            </w:r>
          </w:p>
        </w:tc>
      </w:tr>
      <w:tr w:rsidR="007B290F" w:rsidRPr="007B290F" w14:paraId="43CAFEFE" w14:textId="77777777" w:rsidTr="00036C85">
        <w:trPr>
          <w:trHeight w:val="300"/>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54A6BA" w14:textId="77777777" w:rsidR="007B290F" w:rsidRPr="007B290F" w:rsidRDefault="007B290F" w:rsidP="007B290F">
            <w:pPr>
              <w:spacing w:after="200" w:line="240" w:lineRule="auto"/>
              <w:rPr>
                <w:rFonts w:eastAsia="Times New Roman"/>
                <w:lang w:val="en-PH" w:eastAsia="en-PH"/>
              </w:rPr>
            </w:pPr>
            <w:r w:rsidRPr="007B290F">
              <w:rPr>
                <w:rFonts w:eastAsia="Times New Roman"/>
                <w:color w:val="000000"/>
                <w:lang w:val="en-PH" w:eastAsia="en-PH"/>
              </w:rPr>
              <w:t>CAPITAL OUTLAY</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8CEC82" w14:textId="58FFB06D" w:rsidR="007B290F" w:rsidRPr="007B290F" w:rsidRDefault="00036C85" w:rsidP="007B290F">
            <w:pPr>
              <w:spacing w:line="240" w:lineRule="auto"/>
              <w:jc w:val="right"/>
              <w:rPr>
                <w:rFonts w:eastAsia="Times New Roman"/>
                <w:lang w:val="en-PH" w:eastAsia="en-PH"/>
              </w:rPr>
            </w:pPr>
            <w:r>
              <w:rPr>
                <w:rFonts w:eastAsia="Times New Roman"/>
                <w:color w:val="000000"/>
                <w:lang w:val="en-PH" w:eastAsia="en-PH"/>
              </w:rPr>
              <w:t xml:space="preserve">     </w:t>
            </w:r>
            <w:r w:rsidR="007B290F" w:rsidRPr="007B290F">
              <w:rPr>
                <w:rFonts w:eastAsia="Times New Roman"/>
                <w:color w:val="000000"/>
                <w:lang w:val="en-PH" w:eastAsia="en-PH"/>
              </w:rPr>
              <w:t xml:space="preserve">   6,960,000.00 </w:t>
            </w: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5A273F" w14:textId="43E0A9A1" w:rsidR="007B290F" w:rsidRPr="007B290F" w:rsidRDefault="00036C85" w:rsidP="007B290F">
            <w:pPr>
              <w:spacing w:line="240" w:lineRule="auto"/>
              <w:jc w:val="right"/>
              <w:rPr>
                <w:rFonts w:eastAsia="Times New Roman"/>
                <w:lang w:val="en-PH" w:eastAsia="en-PH"/>
              </w:rPr>
            </w:pPr>
            <w:r>
              <w:rPr>
                <w:rFonts w:eastAsia="Times New Roman"/>
                <w:color w:val="000000"/>
                <w:lang w:val="en-PH" w:eastAsia="en-PH"/>
              </w:rPr>
              <w:t xml:space="preserve">          </w:t>
            </w:r>
            <w:r w:rsidR="007B290F" w:rsidRPr="007B290F">
              <w:rPr>
                <w:rFonts w:eastAsia="Times New Roman"/>
                <w:color w:val="000000"/>
                <w:lang w:val="en-PH" w:eastAsia="en-PH"/>
              </w:rPr>
              <w:t>    1,336,115.00 </w:t>
            </w:r>
          </w:p>
        </w:tc>
        <w:tc>
          <w:tcPr>
            <w:tcW w:w="2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A064A4" w14:textId="33EAA9E5" w:rsidR="007B290F" w:rsidRPr="007B290F" w:rsidRDefault="00036C85" w:rsidP="007B290F">
            <w:pPr>
              <w:spacing w:line="240" w:lineRule="auto"/>
              <w:jc w:val="right"/>
              <w:rPr>
                <w:rFonts w:eastAsia="Times New Roman"/>
                <w:lang w:val="en-PH" w:eastAsia="en-PH"/>
              </w:rPr>
            </w:pPr>
            <w:r>
              <w:rPr>
                <w:rFonts w:eastAsia="Times New Roman"/>
                <w:color w:val="000000"/>
                <w:lang w:val="en-PH" w:eastAsia="en-PH"/>
              </w:rPr>
              <w:t xml:space="preserve">                </w:t>
            </w:r>
            <w:r w:rsidR="007B290F" w:rsidRPr="007B290F">
              <w:rPr>
                <w:rFonts w:eastAsia="Times New Roman"/>
                <w:color w:val="000000"/>
                <w:lang w:val="en-PH" w:eastAsia="en-PH"/>
              </w:rPr>
              <w:t xml:space="preserve">   5,623,885.00 </w:t>
            </w:r>
          </w:p>
        </w:tc>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41CFBB" w14:textId="77777777" w:rsidR="007B290F" w:rsidRPr="007B290F" w:rsidRDefault="007B290F" w:rsidP="007B290F">
            <w:pPr>
              <w:spacing w:line="240" w:lineRule="auto"/>
              <w:jc w:val="center"/>
              <w:rPr>
                <w:rFonts w:eastAsia="Times New Roman"/>
                <w:lang w:val="en-PH" w:eastAsia="en-PH"/>
              </w:rPr>
            </w:pPr>
            <w:r w:rsidRPr="007B290F">
              <w:rPr>
                <w:rFonts w:eastAsia="Times New Roman"/>
                <w:b/>
                <w:bCs/>
                <w:color w:val="000000"/>
                <w:lang w:val="en-PH" w:eastAsia="en-PH"/>
              </w:rPr>
              <w:t>19.20%</w:t>
            </w:r>
          </w:p>
        </w:tc>
      </w:tr>
      <w:tr w:rsidR="007B290F" w:rsidRPr="007B290F" w14:paraId="656094CE" w14:textId="77777777" w:rsidTr="00036C85">
        <w:trPr>
          <w:trHeight w:val="507"/>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A529BE" w14:textId="77777777" w:rsidR="007B290F" w:rsidRPr="007B290F" w:rsidRDefault="007B290F" w:rsidP="007B290F">
            <w:pPr>
              <w:spacing w:after="200" w:line="240" w:lineRule="auto"/>
              <w:rPr>
                <w:rFonts w:eastAsia="Times New Roman"/>
                <w:lang w:val="en-PH" w:eastAsia="en-PH"/>
              </w:rPr>
            </w:pPr>
            <w:r w:rsidRPr="007B290F">
              <w:rPr>
                <w:rFonts w:eastAsia="Times New Roman"/>
                <w:b/>
                <w:bCs/>
                <w:color w:val="000000"/>
                <w:lang w:val="en-PH" w:eastAsia="en-PH"/>
              </w:rPr>
              <w:t>TOTAL</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3F4534" w14:textId="721D57F7" w:rsidR="007B290F" w:rsidRPr="007B290F" w:rsidRDefault="007B290F" w:rsidP="00036C85">
            <w:pPr>
              <w:spacing w:line="240" w:lineRule="auto"/>
              <w:jc w:val="right"/>
              <w:rPr>
                <w:rFonts w:eastAsia="Times New Roman"/>
                <w:lang w:val="en-PH" w:eastAsia="en-PH"/>
              </w:rPr>
            </w:pPr>
            <w:r w:rsidRPr="007B290F">
              <w:rPr>
                <w:rFonts w:eastAsia="Times New Roman"/>
                <w:b/>
                <w:bCs/>
                <w:color w:val="000000"/>
                <w:lang w:val="en-PH" w:eastAsia="en-PH"/>
              </w:rPr>
              <w:t xml:space="preserve">  3,753,724,607.58 </w:t>
            </w: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4E93F0" w14:textId="76E382B3" w:rsidR="007B290F" w:rsidRPr="007B290F" w:rsidRDefault="007B290F" w:rsidP="00036C85">
            <w:pPr>
              <w:spacing w:line="240" w:lineRule="auto"/>
              <w:jc w:val="right"/>
              <w:rPr>
                <w:rFonts w:eastAsia="Times New Roman"/>
                <w:lang w:val="en-PH" w:eastAsia="en-PH"/>
              </w:rPr>
            </w:pPr>
            <w:r w:rsidRPr="007B290F">
              <w:rPr>
                <w:rFonts w:eastAsia="Times New Roman"/>
                <w:b/>
                <w:bCs/>
                <w:color w:val="000000"/>
                <w:lang w:val="en-PH" w:eastAsia="en-PH"/>
              </w:rPr>
              <w:t xml:space="preserve">        1,846,785,888.33 </w:t>
            </w:r>
          </w:p>
        </w:tc>
        <w:tc>
          <w:tcPr>
            <w:tcW w:w="2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8E32EF" w14:textId="176FA593" w:rsidR="007B290F" w:rsidRPr="007B290F" w:rsidRDefault="007B290F" w:rsidP="00036C85">
            <w:pPr>
              <w:spacing w:line="240" w:lineRule="auto"/>
              <w:jc w:val="right"/>
              <w:rPr>
                <w:rFonts w:eastAsia="Times New Roman"/>
                <w:lang w:val="en-PH" w:eastAsia="en-PH"/>
              </w:rPr>
            </w:pPr>
            <w:r w:rsidRPr="007B290F">
              <w:rPr>
                <w:rFonts w:eastAsia="Times New Roman"/>
                <w:b/>
                <w:bCs/>
                <w:color w:val="000000"/>
                <w:lang w:val="en-PH" w:eastAsia="en-PH"/>
              </w:rPr>
              <w:t>             1,906,938,719.25 </w:t>
            </w:r>
          </w:p>
        </w:tc>
        <w:tc>
          <w:tcPr>
            <w:tcW w:w="1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44BF03" w14:textId="77777777" w:rsidR="007B290F" w:rsidRPr="007B290F" w:rsidRDefault="007B290F" w:rsidP="00036C85">
            <w:pPr>
              <w:spacing w:line="240" w:lineRule="auto"/>
              <w:rPr>
                <w:rFonts w:eastAsia="Times New Roman"/>
                <w:lang w:val="en-PH" w:eastAsia="en-PH"/>
              </w:rPr>
            </w:pPr>
            <w:r w:rsidRPr="007B290F">
              <w:rPr>
                <w:rFonts w:eastAsia="Times New Roman"/>
                <w:b/>
                <w:bCs/>
                <w:color w:val="000000"/>
                <w:lang w:val="en-PH" w:eastAsia="en-PH"/>
              </w:rPr>
              <w:t>49.20%</w:t>
            </w:r>
          </w:p>
        </w:tc>
      </w:tr>
    </w:tbl>
    <w:p w14:paraId="45397DF3" w14:textId="77777777" w:rsidR="007B290F" w:rsidRPr="007B290F" w:rsidRDefault="007B290F" w:rsidP="007B290F">
      <w:pPr>
        <w:spacing w:line="240" w:lineRule="auto"/>
        <w:rPr>
          <w:rFonts w:eastAsia="Times New Roman"/>
          <w:lang w:val="en-PH" w:eastAsia="en-PH"/>
        </w:rPr>
      </w:pPr>
    </w:p>
    <w:p w14:paraId="49A1A852" w14:textId="77777777" w:rsidR="007B290F" w:rsidRPr="007B290F" w:rsidRDefault="007B290F" w:rsidP="007B290F">
      <w:pPr>
        <w:spacing w:after="200" w:line="240" w:lineRule="auto"/>
        <w:rPr>
          <w:rFonts w:eastAsia="Times New Roman"/>
          <w:lang w:val="en-PH" w:eastAsia="en-PH"/>
        </w:rPr>
      </w:pPr>
      <w:r w:rsidRPr="007B290F">
        <w:rPr>
          <w:rFonts w:eastAsia="Times New Roman"/>
          <w:color w:val="000000"/>
          <w:lang w:val="en-PH" w:eastAsia="en-PH"/>
        </w:rPr>
        <w:t> </w:t>
      </w:r>
      <w:r w:rsidRPr="007B290F">
        <w:rPr>
          <w:rFonts w:eastAsia="Times New Roman"/>
          <w:b/>
          <w:bCs/>
          <w:color w:val="000000"/>
          <w:lang w:val="en-PH" w:eastAsia="en-PH"/>
        </w:rPr>
        <w:t>Continuing Appropriations:</w:t>
      </w:r>
    </w:p>
    <w:tbl>
      <w:tblPr>
        <w:tblW w:w="0" w:type="auto"/>
        <w:tblCellMar>
          <w:top w:w="15" w:type="dxa"/>
          <w:left w:w="15" w:type="dxa"/>
          <w:bottom w:w="15" w:type="dxa"/>
          <w:right w:w="15" w:type="dxa"/>
        </w:tblCellMar>
        <w:tblLook w:val="04A0" w:firstRow="1" w:lastRow="0" w:firstColumn="1" w:lastColumn="0" w:noHBand="0" w:noVBand="1"/>
      </w:tblPr>
      <w:tblGrid>
        <w:gridCol w:w="957"/>
        <w:gridCol w:w="1986"/>
        <w:gridCol w:w="2046"/>
        <w:gridCol w:w="3014"/>
        <w:gridCol w:w="1271"/>
      </w:tblGrid>
      <w:tr w:rsidR="007B290F" w:rsidRPr="007B290F" w14:paraId="4CAB464A" w14:textId="77777777" w:rsidTr="007B290F">
        <w:trPr>
          <w:trHeight w:val="3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C331D9"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 xml:space="preserve">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5C266D"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Allotment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3B0035"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Obligations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83DE94"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Balances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FE87C3" w14:textId="77777777" w:rsidR="007B290F" w:rsidRPr="007B290F" w:rsidRDefault="007B290F" w:rsidP="007B290F">
            <w:pPr>
              <w:spacing w:after="200" w:line="240" w:lineRule="auto"/>
              <w:jc w:val="center"/>
              <w:rPr>
                <w:rFonts w:eastAsia="Times New Roman"/>
                <w:lang w:val="en-PH" w:eastAsia="en-PH"/>
              </w:rPr>
            </w:pPr>
            <w:r w:rsidRPr="007B290F">
              <w:rPr>
                <w:rFonts w:eastAsia="Times New Roman"/>
                <w:b/>
                <w:bCs/>
                <w:color w:val="000000"/>
                <w:lang w:val="en-PH" w:eastAsia="en-PH"/>
              </w:rPr>
              <w:t>Utilization Rate</w:t>
            </w:r>
          </w:p>
        </w:tc>
      </w:tr>
      <w:tr w:rsidR="007B290F" w:rsidRPr="007B290F" w14:paraId="226164F0" w14:textId="77777777" w:rsidTr="007B290F">
        <w:trPr>
          <w:trHeight w:val="3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B467DD" w14:textId="77777777" w:rsidR="007B290F" w:rsidRPr="007B290F" w:rsidRDefault="007B290F" w:rsidP="007B290F">
            <w:pPr>
              <w:spacing w:after="200" w:line="240" w:lineRule="auto"/>
              <w:rPr>
                <w:rFonts w:eastAsia="Times New Roman"/>
                <w:lang w:val="en-PH" w:eastAsia="en-PH"/>
              </w:rPr>
            </w:pPr>
            <w:r w:rsidRPr="007B290F">
              <w:rPr>
                <w:rFonts w:eastAsia="Times New Roman"/>
                <w:color w:val="000000"/>
                <w:lang w:val="en-PH" w:eastAsia="en-PH"/>
              </w:rPr>
              <w:t>MOOE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016119" w14:textId="349EB6B9" w:rsidR="007B290F" w:rsidRPr="007B290F" w:rsidRDefault="007B290F" w:rsidP="00036C85">
            <w:pPr>
              <w:spacing w:line="240" w:lineRule="auto"/>
              <w:rPr>
                <w:rFonts w:eastAsia="Times New Roman"/>
                <w:lang w:val="en-PH" w:eastAsia="en-PH"/>
              </w:rPr>
            </w:pPr>
            <w:r w:rsidRPr="007B290F">
              <w:rPr>
                <w:rFonts w:eastAsia="Times New Roman"/>
                <w:color w:val="000000"/>
                <w:lang w:val="en-PH" w:eastAsia="en-PH"/>
              </w:rPr>
              <w:t>281,967,421.77 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F6F7CB" w14:textId="7B1032C0" w:rsidR="007B290F" w:rsidRPr="007B290F" w:rsidRDefault="007B290F" w:rsidP="00036C85">
            <w:pPr>
              <w:spacing w:line="240" w:lineRule="auto"/>
              <w:jc w:val="right"/>
              <w:rPr>
                <w:rFonts w:eastAsia="Times New Roman"/>
                <w:lang w:val="en-PH" w:eastAsia="en-PH"/>
              </w:rPr>
            </w:pPr>
            <w:r w:rsidRPr="007B290F">
              <w:rPr>
                <w:rFonts w:eastAsia="Times New Roman"/>
                <w:color w:val="000000"/>
                <w:lang w:val="en-PH" w:eastAsia="en-PH"/>
              </w:rPr>
              <w:t xml:space="preserve">    </w:t>
            </w:r>
            <w:r w:rsidR="00036C85">
              <w:rPr>
                <w:rFonts w:eastAsia="Times New Roman"/>
                <w:color w:val="000000"/>
                <w:lang w:val="en-PH" w:eastAsia="en-PH"/>
              </w:rPr>
              <w:t>1</w:t>
            </w:r>
            <w:r w:rsidRPr="007B290F">
              <w:rPr>
                <w:rFonts w:eastAsia="Times New Roman"/>
                <w:color w:val="000000"/>
                <w:lang w:val="en-PH" w:eastAsia="en-PH"/>
              </w:rPr>
              <w:t>83,176,554.96 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8CD5F3" w14:textId="57BA3279" w:rsidR="007B290F" w:rsidRPr="007B290F" w:rsidRDefault="007B290F" w:rsidP="00036C85">
            <w:pPr>
              <w:spacing w:line="240" w:lineRule="auto"/>
              <w:jc w:val="right"/>
              <w:rPr>
                <w:rFonts w:eastAsia="Times New Roman"/>
                <w:lang w:val="en-PH" w:eastAsia="en-PH"/>
              </w:rPr>
            </w:pPr>
            <w:r w:rsidRPr="007B290F">
              <w:rPr>
                <w:rFonts w:eastAsia="Times New Roman"/>
                <w:color w:val="000000"/>
                <w:lang w:val="en-PH" w:eastAsia="en-PH"/>
              </w:rPr>
              <w:t>       98,790,866.81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F8B5C1" w14:textId="77777777" w:rsidR="007B290F" w:rsidRPr="007B290F" w:rsidRDefault="007B290F" w:rsidP="007B290F">
            <w:pPr>
              <w:spacing w:line="240" w:lineRule="auto"/>
              <w:jc w:val="center"/>
              <w:rPr>
                <w:rFonts w:eastAsia="Times New Roman"/>
                <w:lang w:val="en-PH" w:eastAsia="en-PH"/>
              </w:rPr>
            </w:pPr>
            <w:r w:rsidRPr="007B290F">
              <w:rPr>
                <w:rFonts w:eastAsia="Times New Roman"/>
                <w:color w:val="000000"/>
                <w:lang w:val="en-PH" w:eastAsia="en-PH"/>
              </w:rPr>
              <w:t>64.96%</w:t>
            </w:r>
          </w:p>
        </w:tc>
      </w:tr>
      <w:tr w:rsidR="007B290F" w:rsidRPr="007B290F" w14:paraId="0AF6AFF4" w14:textId="77777777" w:rsidTr="007B290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6A0B08" w14:textId="77777777" w:rsidR="007B290F" w:rsidRPr="007B290F" w:rsidRDefault="007B290F" w:rsidP="007B290F">
            <w:pPr>
              <w:spacing w:after="200" w:line="240" w:lineRule="auto"/>
              <w:rPr>
                <w:rFonts w:eastAsia="Times New Roman"/>
                <w:lang w:val="en-PH" w:eastAsia="en-PH"/>
              </w:rPr>
            </w:pPr>
            <w:r w:rsidRPr="007B290F">
              <w:rPr>
                <w:rFonts w:eastAsia="Times New Roman"/>
                <w:b/>
                <w:bCs/>
                <w:color w:val="000000"/>
                <w:lang w:val="en-PH" w:eastAsia="en-PH"/>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35DC17" w14:textId="1D2F24AD" w:rsidR="007B290F" w:rsidRPr="007B290F" w:rsidRDefault="007B290F" w:rsidP="00036C85">
            <w:pPr>
              <w:spacing w:line="240" w:lineRule="auto"/>
              <w:jc w:val="right"/>
              <w:rPr>
                <w:rFonts w:eastAsia="Times New Roman"/>
                <w:lang w:val="en-PH" w:eastAsia="en-PH"/>
              </w:rPr>
            </w:pPr>
            <w:r w:rsidRPr="007B290F">
              <w:rPr>
                <w:rFonts w:eastAsia="Times New Roman"/>
                <w:b/>
                <w:bCs/>
                <w:color w:val="000000"/>
                <w:lang w:val="en-PH" w:eastAsia="en-PH"/>
              </w:rPr>
              <w:t>   281,967,421.77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494250" w14:textId="47D4A1B0" w:rsidR="007B290F" w:rsidRPr="007B290F" w:rsidRDefault="007B290F" w:rsidP="007B290F">
            <w:pPr>
              <w:spacing w:line="240" w:lineRule="auto"/>
              <w:jc w:val="right"/>
              <w:rPr>
                <w:rFonts w:eastAsia="Times New Roman"/>
                <w:lang w:val="en-PH" w:eastAsia="en-PH"/>
              </w:rPr>
            </w:pPr>
            <w:r w:rsidRPr="007B290F">
              <w:rPr>
                <w:rFonts w:eastAsia="Times New Roman"/>
                <w:b/>
                <w:bCs/>
                <w:color w:val="000000"/>
                <w:lang w:val="en-PH" w:eastAsia="en-PH"/>
              </w:rPr>
              <w:t>  183,176,554.96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81B660" w14:textId="74367063" w:rsidR="007B290F" w:rsidRPr="007B290F" w:rsidRDefault="00036C85" w:rsidP="00036C85">
            <w:pPr>
              <w:spacing w:line="240" w:lineRule="auto"/>
              <w:jc w:val="right"/>
              <w:rPr>
                <w:rFonts w:eastAsia="Times New Roman"/>
                <w:lang w:val="en-PH" w:eastAsia="en-PH"/>
              </w:rPr>
            </w:pPr>
            <w:r>
              <w:rPr>
                <w:rFonts w:eastAsia="Times New Roman"/>
                <w:b/>
                <w:bCs/>
                <w:color w:val="000000"/>
                <w:lang w:val="en-PH" w:eastAsia="en-PH"/>
              </w:rPr>
              <w:t>                   </w:t>
            </w:r>
            <w:r w:rsidR="007B290F" w:rsidRPr="007B290F">
              <w:rPr>
                <w:rFonts w:eastAsia="Times New Roman"/>
                <w:b/>
                <w:bCs/>
                <w:color w:val="000000"/>
                <w:lang w:val="en-PH" w:eastAsia="en-PH"/>
              </w:rPr>
              <w:t xml:space="preserve">   98,790,866.81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3E6D60" w14:textId="77777777" w:rsidR="007B290F" w:rsidRPr="007B290F" w:rsidRDefault="007B290F" w:rsidP="007B290F">
            <w:pPr>
              <w:spacing w:line="240" w:lineRule="auto"/>
              <w:jc w:val="center"/>
              <w:rPr>
                <w:rFonts w:eastAsia="Times New Roman"/>
                <w:lang w:val="en-PH" w:eastAsia="en-PH"/>
              </w:rPr>
            </w:pPr>
            <w:r w:rsidRPr="007B290F">
              <w:rPr>
                <w:rFonts w:eastAsia="Times New Roman"/>
                <w:b/>
                <w:bCs/>
                <w:color w:val="000000"/>
                <w:lang w:val="en-PH" w:eastAsia="en-PH"/>
              </w:rPr>
              <w:t>64.96%</w:t>
            </w:r>
          </w:p>
        </w:tc>
      </w:tr>
    </w:tbl>
    <w:p w14:paraId="34C8E055" w14:textId="77777777" w:rsidR="007B290F" w:rsidRPr="007B290F" w:rsidRDefault="007B290F" w:rsidP="007B290F">
      <w:pPr>
        <w:spacing w:line="240" w:lineRule="auto"/>
        <w:rPr>
          <w:rFonts w:eastAsia="Times New Roman"/>
          <w:lang w:val="en-PH" w:eastAsia="en-PH"/>
        </w:rPr>
      </w:pPr>
    </w:p>
    <w:p w14:paraId="1952FBAA" w14:textId="77777777" w:rsidR="007B290F" w:rsidRPr="007B290F" w:rsidRDefault="007B290F" w:rsidP="00023229">
      <w:pPr>
        <w:spacing w:line="240" w:lineRule="auto"/>
        <w:jc w:val="both"/>
        <w:rPr>
          <w:rFonts w:eastAsia="Times New Roman"/>
          <w:lang w:val="en-PH" w:eastAsia="en-PH"/>
        </w:rPr>
      </w:pPr>
      <w:r w:rsidRPr="007B290F">
        <w:rPr>
          <w:rFonts w:eastAsia="Times New Roman"/>
          <w:color w:val="000000"/>
          <w:lang w:val="en-PH" w:eastAsia="en-PH"/>
        </w:rPr>
        <w:t>The Continuing fund is 10.04% off against the 75% target due to the downloading of allotment on June 30 amounting to Php 82.4 Million for the Kalahi –KKB program and Php 4.5 Million for GASS intended for the Repair and Maintenance of the field office.</w:t>
      </w:r>
    </w:p>
    <w:p w14:paraId="1F8D79FB" w14:textId="77777777" w:rsidR="007B290F" w:rsidRPr="007B290F" w:rsidRDefault="007B290F" w:rsidP="007B290F">
      <w:pPr>
        <w:spacing w:line="240" w:lineRule="auto"/>
        <w:rPr>
          <w:rFonts w:eastAsia="Times New Roman"/>
          <w:lang w:val="en-PH" w:eastAsia="en-PH"/>
        </w:rPr>
      </w:pPr>
    </w:p>
    <w:p w14:paraId="118D6821" w14:textId="77777777" w:rsidR="007B290F" w:rsidRPr="007B290F" w:rsidRDefault="007B290F" w:rsidP="00023229">
      <w:pPr>
        <w:spacing w:line="240" w:lineRule="auto"/>
        <w:jc w:val="both"/>
        <w:rPr>
          <w:rFonts w:eastAsia="Times New Roman"/>
          <w:lang w:val="en-PH" w:eastAsia="en-PH"/>
        </w:rPr>
      </w:pPr>
      <w:r w:rsidRPr="007B290F">
        <w:rPr>
          <w:rFonts w:eastAsia="Times New Roman"/>
          <w:color w:val="000000"/>
          <w:lang w:val="en-PH" w:eastAsia="en-PH"/>
        </w:rPr>
        <w:t xml:space="preserve">The </w:t>
      </w:r>
      <w:r w:rsidRPr="007B290F">
        <w:rPr>
          <w:rFonts w:eastAsia="Times New Roman"/>
          <w:b/>
          <w:bCs/>
          <w:color w:val="000000"/>
          <w:lang w:val="en-PH" w:eastAsia="en-PH"/>
        </w:rPr>
        <w:t>Cash Section</w:t>
      </w:r>
      <w:r w:rsidRPr="007B290F">
        <w:rPr>
          <w:rFonts w:eastAsia="Times New Roman"/>
          <w:color w:val="000000"/>
          <w:lang w:val="en-PH" w:eastAsia="en-PH"/>
        </w:rPr>
        <w:t xml:space="preserve"> is responsible for the monitoring of the cash position of the department to ensure 100 % utilization of cash as per the monthly cash program.  This unit is also responsible   to  issue  official  receipts  in  the  collection  of  fees  on   Minors  Travelling  Abroad,  Solicitation  Permit, Affiliation fee  and  other  charges  that  serves  as  an  income  of  the agency.  The  Collecting  Officer(Cashier)  is  mandated  to  ensure  that  all  collections  are  deposited  daily to our Depository Banks.</w:t>
      </w:r>
    </w:p>
    <w:p w14:paraId="78E07A93" w14:textId="77777777" w:rsidR="007B290F" w:rsidRPr="007B290F" w:rsidRDefault="007B290F" w:rsidP="007B290F">
      <w:pPr>
        <w:spacing w:line="240" w:lineRule="auto"/>
        <w:rPr>
          <w:rFonts w:eastAsia="Times New Roman"/>
          <w:lang w:val="en-PH" w:eastAsia="en-PH"/>
        </w:rPr>
      </w:pPr>
    </w:p>
    <w:p w14:paraId="56CB4945" w14:textId="77777777" w:rsidR="007B290F" w:rsidRDefault="007B290F" w:rsidP="007B290F">
      <w:pPr>
        <w:spacing w:line="240" w:lineRule="auto"/>
        <w:ind w:firstLine="720"/>
        <w:jc w:val="both"/>
        <w:rPr>
          <w:rFonts w:eastAsia="Times New Roman"/>
          <w:color w:val="000000"/>
          <w:lang w:val="en-PH" w:eastAsia="en-PH"/>
        </w:rPr>
      </w:pPr>
      <w:r w:rsidRPr="007B290F">
        <w:rPr>
          <w:rFonts w:eastAsia="Times New Roman"/>
          <w:color w:val="000000"/>
          <w:lang w:val="en-PH" w:eastAsia="en-PH"/>
        </w:rPr>
        <w:t xml:space="preserve">A total of </w:t>
      </w:r>
      <w:r w:rsidRPr="007B290F">
        <w:rPr>
          <w:rFonts w:eastAsia="Times New Roman"/>
          <w:b/>
          <w:bCs/>
          <w:color w:val="000000"/>
          <w:lang w:val="en-PH" w:eastAsia="en-PH"/>
        </w:rPr>
        <w:t>Php 1,196,509,730.97</w:t>
      </w:r>
      <w:r w:rsidRPr="007B290F">
        <w:rPr>
          <w:rFonts w:eastAsia="Times New Roman"/>
          <w:color w:val="000000"/>
          <w:lang w:val="en-PH" w:eastAsia="en-PH"/>
        </w:rPr>
        <w:t xml:space="preserve"> was downloaded to the MDS account for the 2nd quarter 2022 and was able to disburse the NCA/NTA </w:t>
      </w:r>
      <w:r w:rsidRPr="007B290F">
        <w:rPr>
          <w:rFonts w:eastAsia="Times New Roman"/>
          <w:b/>
          <w:bCs/>
          <w:color w:val="000000"/>
          <w:lang w:val="en-PH" w:eastAsia="en-PH"/>
        </w:rPr>
        <w:t>100%.</w:t>
      </w:r>
      <w:r w:rsidRPr="007B290F">
        <w:rPr>
          <w:rFonts w:eastAsia="Times New Roman"/>
          <w:color w:val="000000"/>
          <w:lang w:val="en-PH" w:eastAsia="en-PH"/>
        </w:rPr>
        <w:t>  Details are as follows:</w:t>
      </w:r>
    </w:p>
    <w:p w14:paraId="4FC6BD3F" w14:textId="77777777" w:rsidR="007B290F" w:rsidRPr="007B290F" w:rsidRDefault="007B290F" w:rsidP="007B290F">
      <w:pPr>
        <w:spacing w:line="240" w:lineRule="auto"/>
        <w:rPr>
          <w:rFonts w:eastAsia="Times New Roman"/>
          <w:lang w:val="en-PH" w:eastAsia="en-PH"/>
        </w:rPr>
      </w:pPr>
    </w:p>
    <w:p w14:paraId="16570A48" w14:textId="77777777" w:rsidR="007B290F" w:rsidRPr="007B290F" w:rsidRDefault="007B290F" w:rsidP="007B290F">
      <w:pPr>
        <w:spacing w:line="240" w:lineRule="auto"/>
        <w:ind w:firstLine="720"/>
        <w:jc w:val="both"/>
        <w:rPr>
          <w:rFonts w:eastAsia="Times New Roman"/>
          <w:lang w:val="en-PH" w:eastAsia="en-PH"/>
        </w:rPr>
      </w:pPr>
      <w:r w:rsidRPr="007B290F">
        <w:rPr>
          <w:rFonts w:eastAsia="Times New Roman"/>
          <w:color w:val="000000"/>
          <w:lang w:val="en-PH" w:eastAsia="en-PH"/>
        </w:rPr>
        <w:t>The table below shows the Status of NTA/NCA and disbursement as of March 25, 2022:</w:t>
      </w:r>
    </w:p>
    <w:p w14:paraId="24323151" w14:textId="77777777" w:rsidR="007B290F" w:rsidRPr="007B290F" w:rsidRDefault="007B290F" w:rsidP="007B290F">
      <w:pPr>
        <w:spacing w:line="240" w:lineRule="auto"/>
        <w:rPr>
          <w:rFonts w:eastAsia="Times New Roman"/>
          <w:lang w:val="en-PH" w:eastAsia="en-PH"/>
        </w:rPr>
      </w:pPr>
    </w:p>
    <w:tbl>
      <w:tblPr>
        <w:tblW w:w="0" w:type="auto"/>
        <w:tblCellMar>
          <w:top w:w="15" w:type="dxa"/>
          <w:left w:w="15" w:type="dxa"/>
          <w:bottom w:w="15" w:type="dxa"/>
          <w:right w:w="15" w:type="dxa"/>
        </w:tblCellMar>
        <w:tblLook w:val="04A0" w:firstRow="1" w:lastRow="0" w:firstColumn="1" w:lastColumn="0" w:noHBand="0" w:noVBand="1"/>
      </w:tblPr>
      <w:tblGrid>
        <w:gridCol w:w="2769"/>
        <w:gridCol w:w="1943"/>
        <w:gridCol w:w="1979"/>
        <w:gridCol w:w="2583"/>
      </w:tblGrid>
      <w:tr w:rsidR="007B290F" w:rsidRPr="007B290F" w14:paraId="0F5FE3E8"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9ABD01" w14:textId="77777777" w:rsidR="007B290F" w:rsidRPr="007B290F" w:rsidRDefault="007B290F" w:rsidP="007B290F">
            <w:pPr>
              <w:spacing w:line="240" w:lineRule="auto"/>
              <w:jc w:val="center"/>
              <w:rPr>
                <w:rFonts w:eastAsia="Times New Roman"/>
                <w:lang w:val="en-PH" w:eastAsia="en-PH"/>
              </w:rPr>
            </w:pPr>
            <w:r w:rsidRPr="007B290F">
              <w:rPr>
                <w:rFonts w:eastAsia="Times New Roman"/>
                <w:b/>
                <w:bCs/>
                <w:color w:val="000000"/>
                <w:lang w:val="en-PH" w:eastAsia="en-PH"/>
              </w:rPr>
              <w:t>Program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519B44" w14:textId="77777777" w:rsidR="007B290F" w:rsidRPr="007B290F" w:rsidRDefault="007B290F" w:rsidP="007B290F">
            <w:pPr>
              <w:spacing w:line="240" w:lineRule="auto"/>
              <w:jc w:val="center"/>
              <w:rPr>
                <w:rFonts w:eastAsia="Times New Roman"/>
                <w:lang w:val="en-PH" w:eastAsia="en-PH"/>
              </w:rPr>
            </w:pPr>
            <w:r w:rsidRPr="007B290F">
              <w:rPr>
                <w:rFonts w:eastAsia="Times New Roman"/>
                <w:b/>
                <w:bCs/>
                <w:color w:val="000000"/>
                <w:lang w:val="en-PH" w:eastAsia="en-PH"/>
              </w:rPr>
              <w:t>Fund</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BE599D" w14:textId="77777777" w:rsidR="007B290F" w:rsidRPr="007B290F" w:rsidRDefault="007B290F" w:rsidP="007B290F">
            <w:pPr>
              <w:spacing w:line="240" w:lineRule="auto"/>
              <w:jc w:val="center"/>
              <w:rPr>
                <w:rFonts w:eastAsia="Times New Roman"/>
                <w:lang w:val="en-PH" w:eastAsia="en-PH"/>
              </w:rPr>
            </w:pPr>
            <w:r w:rsidRPr="007B290F">
              <w:rPr>
                <w:rFonts w:eastAsia="Times New Roman"/>
                <w:b/>
                <w:bCs/>
                <w:color w:val="000000"/>
                <w:lang w:val="en-PH" w:eastAsia="en-PH"/>
              </w:rPr>
              <w:t xml:space="preserve"> Dibursements </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80DB09" w14:textId="77777777" w:rsidR="007B290F" w:rsidRPr="007B290F" w:rsidRDefault="007B290F" w:rsidP="007B290F">
            <w:pPr>
              <w:spacing w:line="240" w:lineRule="auto"/>
              <w:jc w:val="center"/>
              <w:rPr>
                <w:rFonts w:eastAsia="Times New Roman"/>
                <w:lang w:val="en-PH" w:eastAsia="en-PH"/>
              </w:rPr>
            </w:pPr>
            <w:r w:rsidRPr="007B290F">
              <w:rPr>
                <w:rFonts w:eastAsia="Times New Roman"/>
                <w:b/>
                <w:bCs/>
                <w:color w:val="000000"/>
                <w:lang w:val="en-PH" w:eastAsia="en-PH"/>
              </w:rPr>
              <w:t>Unutilized</w:t>
            </w:r>
          </w:p>
        </w:tc>
      </w:tr>
      <w:tr w:rsidR="007B290F" w:rsidRPr="007B290F" w14:paraId="02BF17BC"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B6E384" w14:textId="77777777" w:rsidR="007B290F" w:rsidRPr="007B290F" w:rsidRDefault="007B290F" w:rsidP="007B290F">
            <w:pPr>
              <w:spacing w:line="240" w:lineRule="auto"/>
              <w:rPr>
                <w:rFonts w:eastAsia="Times New Roman"/>
                <w:lang w:val="en-PH" w:eastAsia="en-PH"/>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432D8C" w14:textId="77777777" w:rsidR="007B290F" w:rsidRPr="007B290F" w:rsidRDefault="007B290F" w:rsidP="007B290F">
            <w:pPr>
              <w:spacing w:line="240" w:lineRule="auto"/>
              <w:jc w:val="center"/>
              <w:rPr>
                <w:rFonts w:eastAsia="Times New Roman"/>
                <w:lang w:val="en-PH" w:eastAsia="en-PH"/>
              </w:rPr>
            </w:pPr>
            <w:r w:rsidRPr="007B290F">
              <w:rPr>
                <w:rFonts w:eastAsia="Times New Roman"/>
                <w:b/>
                <w:bCs/>
                <w:color w:val="000000"/>
                <w:lang w:val="en-PH" w:eastAsia="en-PH"/>
              </w:rPr>
              <w:t>Total NCA/NTA</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373199" w14:textId="77777777" w:rsidR="007B290F" w:rsidRPr="007B290F" w:rsidRDefault="007B290F" w:rsidP="007B290F">
            <w:pPr>
              <w:spacing w:line="240" w:lineRule="auto"/>
              <w:jc w:val="center"/>
              <w:rPr>
                <w:rFonts w:eastAsia="Times New Roman"/>
                <w:lang w:val="en-PH" w:eastAsia="en-PH"/>
              </w:rPr>
            </w:pPr>
            <w:r w:rsidRPr="007B290F">
              <w:rPr>
                <w:rFonts w:eastAsia="Times New Roman"/>
                <w:b/>
                <w:bCs/>
                <w:color w:val="000000"/>
                <w:lang w:val="en-PH" w:eastAsia="en-PH"/>
              </w:rPr>
              <w:t xml:space="preserve"> Total Disbursements </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7676F9" w14:textId="77777777" w:rsidR="007B290F" w:rsidRPr="007B290F" w:rsidRDefault="007B290F" w:rsidP="007B290F">
            <w:pPr>
              <w:spacing w:line="240" w:lineRule="auto"/>
              <w:jc w:val="center"/>
              <w:rPr>
                <w:rFonts w:eastAsia="Times New Roman"/>
                <w:lang w:val="en-PH" w:eastAsia="en-PH"/>
              </w:rPr>
            </w:pPr>
            <w:r w:rsidRPr="007B290F">
              <w:rPr>
                <w:rFonts w:eastAsia="Times New Roman"/>
                <w:b/>
                <w:bCs/>
                <w:color w:val="000000"/>
                <w:lang w:val="en-PH" w:eastAsia="en-PH"/>
              </w:rPr>
              <w:t>Balance</w:t>
            </w:r>
          </w:p>
        </w:tc>
      </w:tr>
      <w:tr w:rsidR="007B290F" w:rsidRPr="007B290F" w14:paraId="22B42666"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FE42A3"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lastRenderedPageBreak/>
              <w:t>Disaster response and rehabilitation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4F6206"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10,943,130.06</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7065DC"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9,276,862.94</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006F21"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xml:space="preserve"> ₱             1,666,267.12 </w:t>
            </w:r>
          </w:p>
        </w:tc>
      </w:tr>
      <w:tr w:rsidR="007B290F" w:rsidRPr="007B290F" w14:paraId="79BD6899"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31CF9F"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General Management &amp; Supervision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F70C49"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1,564,000.00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F1A5E"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4,683,137.79</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C37DCA"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3,119,137.79 </w:t>
            </w:r>
          </w:p>
        </w:tc>
      </w:tr>
      <w:tr w:rsidR="007B290F" w:rsidRPr="007B290F" w14:paraId="674F0D25"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62BAF4" w14:textId="75CEAA99" w:rsidR="007B290F" w:rsidRPr="007B290F" w:rsidRDefault="00023229" w:rsidP="00023229">
            <w:pPr>
              <w:spacing w:line="240" w:lineRule="auto"/>
              <w:rPr>
                <w:rFonts w:eastAsia="Times New Roman"/>
                <w:lang w:val="en-PH" w:eastAsia="en-PH"/>
              </w:rPr>
            </w:pPr>
            <w:r w:rsidRPr="007B290F">
              <w:rPr>
                <w:rFonts w:eastAsia="Times New Roman"/>
                <w:color w:val="000000"/>
                <w:lang w:val="en-PH" w:eastAsia="en-PH"/>
              </w:rPr>
              <w:t xml:space="preserve">Implementation of </w:t>
            </w:r>
            <w:r>
              <w:rPr>
                <w:rFonts w:eastAsia="Times New Roman"/>
                <w:color w:val="000000"/>
                <w:lang w:val="en-PH" w:eastAsia="en-PH"/>
              </w:rPr>
              <w:t>RA 10868 or the Centenarians A</w:t>
            </w:r>
            <w:r w:rsidRPr="007B290F">
              <w:rPr>
                <w:rFonts w:eastAsia="Times New Roman"/>
                <w:color w:val="000000"/>
                <w:lang w:val="en-PH" w:eastAsia="en-PH"/>
              </w:rPr>
              <w:t>ct of 2016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AB08C4"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1,609,503.00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7C3738"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1,800,000.00</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5F4E63"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190,497.00 </w:t>
            </w:r>
          </w:p>
        </w:tc>
      </w:tr>
      <w:tr w:rsidR="007B290F" w:rsidRPr="007B290F" w14:paraId="00F1398D"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B834D5"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Information and Communication Technology Service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CFBAE6"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3,000,000.00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1FC7F"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2,120,823.95</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80600A"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xml:space="preserve"> ₱                879,176.05 </w:t>
            </w:r>
          </w:p>
        </w:tc>
      </w:tr>
      <w:tr w:rsidR="007B290F" w:rsidRPr="007B290F" w14:paraId="5C9C9233"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398880"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National Household Targeting System for Poverty Reduction (NHTS-PR)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366BC5"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1,326,251.00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D13EA1"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584,726.32</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5C8D11"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xml:space="preserve"> ₱                741,524.68 </w:t>
            </w:r>
          </w:p>
        </w:tc>
      </w:tr>
      <w:tr w:rsidR="007B290F" w:rsidRPr="007B290F" w14:paraId="38183E7D"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A1A43C"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Pantawid Pamilya (Implementation of Conditional Cash  Transfer)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269FB6"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60,374,989.09</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C9E429"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64,511,854.25</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42A09C"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4,136,865.16 </w:t>
            </w:r>
          </w:p>
        </w:tc>
      </w:tr>
      <w:tr w:rsidR="007B290F" w:rsidRPr="007B290F" w14:paraId="31043546"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2215A2"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Poverty and Reintegration Program for Trafficked Persons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A4A19F"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0.00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D92C53"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0.00</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8644A4"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w:t>
            </w:r>
          </w:p>
        </w:tc>
      </w:tr>
      <w:tr w:rsidR="007B290F" w:rsidRPr="007B290F" w14:paraId="1A4EBB46"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7C9546"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Protective services for individuals and families in especially difficult circumstances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7765EA"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491,387,078.83</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8D806B"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499986522.7</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8494D7"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8,599,443.82 </w:t>
            </w:r>
          </w:p>
        </w:tc>
      </w:tr>
      <w:tr w:rsidR="007B290F" w:rsidRPr="007B290F" w14:paraId="4BBCB35A"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7324A0"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Provision of services for center-based clients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50F0CF"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14,293,521.55</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2F125"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15,935,003.12</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59D7E9"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1,641,481.57 </w:t>
            </w:r>
          </w:p>
        </w:tc>
      </w:tr>
      <w:tr w:rsidR="007B290F" w:rsidRPr="007B290F" w14:paraId="72DA2928"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3955E5"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Provision of technical/advisory assistance and related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A106A3"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18,706,000.00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8869E4"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22,657,550.83</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531F07"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3,951,550.83 </w:t>
            </w:r>
          </w:p>
        </w:tc>
      </w:tr>
      <w:tr w:rsidR="007B290F" w:rsidRPr="007B290F" w14:paraId="146DC438"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69C6AA"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Social Pension for Indigent Senior Citizens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F7273A"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396,000,000.00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A889C7"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458,595,373.85</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BA697E"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62,595,373.85 </w:t>
            </w:r>
          </w:p>
        </w:tc>
      </w:tr>
      <w:tr w:rsidR="007B290F" w:rsidRPr="007B290F" w14:paraId="505924D0"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0D49B9"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Social Technology Development and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D20C95"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343,752.99</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3989D2"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408,558.58</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690106"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64,805.59 </w:t>
            </w:r>
          </w:p>
        </w:tc>
      </w:tr>
      <w:tr w:rsidR="007B290F" w:rsidRPr="007B290F" w14:paraId="191CACE8"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60D0B"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Standards-setting, licensing, accreditation and monitoring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8F0B6E"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253,030.01</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B649CA"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528,067.46</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398127"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275,037.45 </w:t>
            </w:r>
          </w:p>
        </w:tc>
      </w:tr>
      <w:tr w:rsidR="007B290F" w:rsidRPr="007B290F" w14:paraId="22901987"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1FDCB"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Supplementary Feeding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1259D2"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957,000.00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0C978B"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1,439,940.76</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1E8990"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482,940.76 </w:t>
            </w:r>
          </w:p>
        </w:tc>
      </w:tr>
      <w:tr w:rsidR="007B290F" w:rsidRPr="007B290F" w14:paraId="3550921C"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301D13"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Sustainable Livelihood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D80AE4"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94,803,800.00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268E04"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40,444,576.50</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230A58"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xml:space="preserve"> ₱            54,359,223.50 </w:t>
            </w:r>
          </w:p>
        </w:tc>
      </w:tr>
      <w:tr w:rsidR="007B290F" w:rsidRPr="007B290F" w14:paraId="28723684"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02023A"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Tax Reform Cash Transfer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1C64E8"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0.00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57D93E"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0.00</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360BE0"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xml:space="preserve">                             -   </w:t>
            </w:r>
          </w:p>
        </w:tc>
      </w:tr>
      <w:tr w:rsidR="007B290F" w:rsidRPr="007B290F" w14:paraId="5A0A587A"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22AE3"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 xml:space="preserve"> Automatic Appropriation - RLIP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542480"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1224000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091AC4"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0.00</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54A9FE"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xml:space="preserve"> ₱             1,224,000.00 </w:t>
            </w:r>
          </w:p>
        </w:tc>
      </w:tr>
      <w:tr w:rsidR="007B290F" w:rsidRPr="007B290F" w14:paraId="47A52A28"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F12D0A"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Recovery and Reintegration Program for Trafficked Persons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59C7FB"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330,400.00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599883"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238868.25</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3CB980"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xml:space="preserve"> ₱                  91,531.75 </w:t>
            </w:r>
          </w:p>
        </w:tc>
      </w:tr>
      <w:tr w:rsidR="007B290F" w:rsidRPr="007B290F" w14:paraId="6C40BA7F"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4F2563"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Quick Response Fund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5A0D2C"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510000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B83265"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238532</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720542"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xml:space="preserve"> ₱                271,468.00 </w:t>
            </w:r>
          </w:p>
        </w:tc>
      </w:tr>
      <w:tr w:rsidR="007B290F" w:rsidRPr="007B290F" w14:paraId="128005E4"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3F8E5B"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National Resource Operation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4E20B"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0.00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A0A78C"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0.00</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4880BF"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   </w:t>
            </w:r>
          </w:p>
        </w:tc>
      </w:tr>
      <w:tr w:rsidR="007B290F" w:rsidRPr="007B290F" w14:paraId="63CA72E3"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6EC1E3"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Assistance to Persons with Disability and Older Persons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10F4F0"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126000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915BFF"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137414.28</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834A69"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11,414.28 </w:t>
            </w:r>
          </w:p>
        </w:tc>
      </w:tr>
      <w:tr w:rsidR="007B290F" w:rsidRPr="007B290F" w14:paraId="3E0853AA"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A65903"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lastRenderedPageBreak/>
              <w:t>Formulation and development of plans and policies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B1AD2B"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200000</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D25BC"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8438</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AD7257"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xml:space="preserve"> ₱                191,562.00 </w:t>
            </w:r>
          </w:p>
        </w:tc>
      </w:tr>
      <w:tr w:rsidR="007B290F" w:rsidRPr="007B290F" w14:paraId="7291F0A5"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7E755A"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Services to Distressed Overseas Filipinos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68DA4E"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116,414.28</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8BCFA8"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139,021.59</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AA3A78"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22,607.31 </w:t>
            </w:r>
          </w:p>
        </w:tc>
      </w:tr>
      <w:tr w:rsidR="007B290F" w:rsidRPr="007B290F" w14:paraId="5D453076"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C9EF16"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Enhanced Partnership Against Hunger and Poverty (EPAHP)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E616A7"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994,480.26</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FFE195"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775,434.71</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7DCD9A"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xml:space="preserve"> ₱                219,045.55 </w:t>
            </w:r>
          </w:p>
        </w:tc>
      </w:tr>
      <w:tr w:rsidR="007B290F" w:rsidRPr="007B290F" w14:paraId="0A1A3DEC"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60FC74"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KALAHI - CIDSS KKB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C1C2F6"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90,958,646.79</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612286"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67,192,622.16</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762947"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xml:space="preserve"> ₱            23,766,024.63 </w:t>
            </w:r>
          </w:p>
        </w:tc>
      </w:tr>
      <w:tr w:rsidR="007B290F" w:rsidRPr="007B290F" w14:paraId="627D0E38"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C631E6" w14:textId="77777777" w:rsidR="007B290F" w:rsidRPr="007B290F" w:rsidRDefault="007B290F" w:rsidP="007B290F">
            <w:pPr>
              <w:spacing w:line="240" w:lineRule="auto"/>
              <w:rPr>
                <w:rFonts w:eastAsia="Times New Roman"/>
                <w:lang w:val="en-PH" w:eastAsia="en-PH"/>
              </w:rPr>
            </w:pPr>
            <w:r w:rsidRPr="007B290F">
              <w:rPr>
                <w:rFonts w:eastAsia="Times New Roman"/>
                <w:color w:val="000000"/>
                <w:lang w:val="en-PH" w:eastAsia="en-PH"/>
              </w:rPr>
              <w:t>KC-PAMANA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7500A3"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6487733.11</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A651BB"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4,806,400.98</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9A535E" w14:textId="77777777" w:rsidR="007B290F" w:rsidRPr="007B290F" w:rsidRDefault="007B290F" w:rsidP="007B290F">
            <w:pPr>
              <w:spacing w:line="240" w:lineRule="auto"/>
              <w:jc w:val="right"/>
              <w:rPr>
                <w:rFonts w:eastAsia="Times New Roman"/>
                <w:lang w:val="en-PH" w:eastAsia="en-PH"/>
              </w:rPr>
            </w:pPr>
            <w:r w:rsidRPr="007B290F">
              <w:rPr>
                <w:rFonts w:eastAsia="Times New Roman"/>
                <w:color w:val="000000"/>
                <w:lang w:val="en-PH" w:eastAsia="en-PH"/>
              </w:rPr>
              <w:t xml:space="preserve"> ₱             1,681,332.13 </w:t>
            </w:r>
          </w:p>
        </w:tc>
      </w:tr>
      <w:tr w:rsidR="007B290F" w:rsidRPr="007B290F" w14:paraId="2E45752D" w14:textId="77777777" w:rsidTr="00023229">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9768B6" w14:textId="77777777" w:rsidR="007B290F" w:rsidRPr="007B290F" w:rsidRDefault="007B290F" w:rsidP="007B290F">
            <w:pPr>
              <w:spacing w:line="240" w:lineRule="auto"/>
              <w:rPr>
                <w:rFonts w:eastAsia="Times New Roman"/>
                <w:lang w:val="en-PH" w:eastAsia="en-PH"/>
              </w:rPr>
            </w:pPr>
            <w:r w:rsidRPr="007B290F">
              <w:rPr>
                <w:rFonts w:eastAsia="Times New Roman"/>
                <w:b/>
                <w:bCs/>
                <w:color w:val="000000"/>
                <w:lang w:val="en-PH" w:eastAsia="en-PH"/>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98FD50" w14:textId="77777777" w:rsidR="007B290F" w:rsidRPr="007B290F" w:rsidRDefault="007B290F" w:rsidP="007B290F">
            <w:pPr>
              <w:spacing w:line="240" w:lineRule="auto"/>
              <w:jc w:val="right"/>
              <w:rPr>
                <w:rFonts w:eastAsia="Times New Roman"/>
                <w:lang w:val="en-PH" w:eastAsia="en-PH"/>
              </w:rPr>
            </w:pPr>
            <w:r w:rsidRPr="007B290F">
              <w:rPr>
                <w:rFonts w:eastAsia="Times New Roman"/>
                <w:b/>
                <w:bCs/>
                <w:color w:val="000000"/>
                <w:lang w:val="en-PH" w:eastAsia="en-PH"/>
              </w:rPr>
              <w:t>1,196,509,730.97</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3AAED1" w14:textId="77777777" w:rsidR="007B290F" w:rsidRPr="007B290F" w:rsidRDefault="007B290F" w:rsidP="007B290F">
            <w:pPr>
              <w:spacing w:line="240" w:lineRule="auto"/>
              <w:jc w:val="right"/>
              <w:rPr>
                <w:rFonts w:eastAsia="Times New Roman"/>
                <w:lang w:val="en-PH" w:eastAsia="en-PH"/>
              </w:rPr>
            </w:pPr>
            <w:r w:rsidRPr="007B290F">
              <w:rPr>
                <w:rFonts w:eastAsia="Times New Roman"/>
                <w:b/>
                <w:bCs/>
                <w:color w:val="000000"/>
                <w:lang w:val="en-PH" w:eastAsia="en-PH"/>
              </w:rPr>
              <w:t>1,196,509,730.97</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517013" w14:textId="77777777" w:rsidR="007B290F" w:rsidRPr="007B290F" w:rsidRDefault="007B290F" w:rsidP="007B290F">
            <w:pPr>
              <w:spacing w:line="240" w:lineRule="auto"/>
              <w:jc w:val="right"/>
              <w:rPr>
                <w:rFonts w:eastAsia="Times New Roman"/>
                <w:lang w:val="en-PH" w:eastAsia="en-PH"/>
              </w:rPr>
            </w:pPr>
            <w:r w:rsidRPr="007B290F">
              <w:rPr>
                <w:rFonts w:eastAsia="Times New Roman"/>
                <w:b/>
                <w:bCs/>
                <w:color w:val="000000"/>
                <w:lang w:val="en-PH" w:eastAsia="en-PH"/>
              </w:rPr>
              <w:t>0.00</w:t>
            </w:r>
          </w:p>
        </w:tc>
      </w:tr>
    </w:tbl>
    <w:p w14:paraId="39AD04F5" w14:textId="77777777" w:rsidR="007B290F" w:rsidRPr="007B290F" w:rsidRDefault="007B290F" w:rsidP="007B290F">
      <w:pPr>
        <w:spacing w:line="240" w:lineRule="auto"/>
        <w:rPr>
          <w:rFonts w:eastAsia="Times New Roman"/>
          <w:lang w:val="en-PH" w:eastAsia="en-PH"/>
        </w:rPr>
      </w:pPr>
    </w:p>
    <w:p w14:paraId="3DA3FB07" w14:textId="77777777" w:rsidR="007B290F" w:rsidRPr="007B290F" w:rsidRDefault="007B290F" w:rsidP="007B290F">
      <w:pPr>
        <w:spacing w:line="240" w:lineRule="auto"/>
        <w:ind w:firstLine="720"/>
        <w:jc w:val="both"/>
        <w:rPr>
          <w:rFonts w:eastAsia="Times New Roman"/>
          <w:lang w:val="en-PH" w:eastAsia="en-PH"/>
        </w:rPr>
      </w:pPr>
      <w:r w:rsidRPr="007B290F">
        <w:rPr>
          <w:rFonts w:eastAsia="Times New Roman"/>
          <w:color w:val="000000"/>
          <w:lang w:val="en-PH" w:eastAsia="en-PH"/>
        </w:rPr>
        <w:t xml:space="preserve">Accounted and recorded 964 unreleased checks per program as of June 6, 2022 amounting to </w:t>
      </w:r>
      <w:r w:rsidRPr="007B290F">
        <w:rPr>
          <w:rFonts w:eastAsia="Times New Roman"/>
          <w:b/>
          <w:bCs/>
          <w:i/>
          <w:iCs/>
          <w:color w:val="000000"/>
          <w:lang w:val="en-PH" w:eastAsia="en-PH"/>
        </w:rPr>
        <w:t>Php 439,533,142.06</w:t>
      </w:r>
      <w:r w:rsidRPr="007B290F">
        <w:rPr>
          <w:rFonts w:eastAsia="Times New Roman"/>
          <w:color w:val="000000"/>
          <w:lang w:val="en-PH" w:eastAsia="en-PH"/>
        </w:rPr>
        <w:t>. The accounted data were provided with the different section/programs for their appropriate action. </w:t>
      </w:r>
    </w:p>
    <w:p w14:paraId="56E21515" w14:textId="77777777" w:rsidR="00C75764" w:rsidRPr="000F000A" w:rsidRDefault="00C75764" w:rsidP="000F000A">
      <w:pPr>
        <w:jc w:val="both"/>
        <w:rPr>
          <w:b/>
          <w:color w:val="000000" w:themeColor="text1"/>
        </w:rPr>
      </w:pPr>
    </w:p>
    <w:p w14:paraId="3A4FA2CB" w14:textId="77777777" w:rsidR="00C94657" w:rsidRDefault="00C94657">
      <w:pPr>
        <w:rPr>
          <w:b/>
          <w:color w:val="000000" w:themeColor="text1"/>
        </w:rPr>
      </w:pPr>
      <w:r>
        <w:rPr>
          <w:b/>
          <w:color w:val="000000" w:themeColor="text1"/>
        </w:rPr>
        <w:t xml:space="preserve">III. </w:t>
      </w:r>
      <w:r w:rsidRPr="00A12880">
        <w:rPr>
          <w:b/>
          <w:color w:val="000000" w:themeColor="text1"/>
        </w:rPr>
        <w:t>CONCLUSION</w:t>
      </w:r>
    </w:p>
    <w:p w14:paraId="1C250942" w14:textId="34500DDC" w:rsidR="004B4CDE" w:rsidRDefault="00C94657" w:rsidP="00C94657">
      <w:pPr>
        <w:spacing w:before="240" w:after="240"/>
        <w:jc w:val="both"/>
        <w:rPr>
          <w:color w:val="000000" w:themeColor="text1"/>
        </w:rPr>
      </w:pPr>
      <w:r w:rsidRPr="003948D4">
        <w:rPr>
          <w:color w:val="000000" w:themeColor="text1"/>
        </w:rPr>
        <w:t xml:space="preserve">DSWD FO2 has remained strong and resilient, despite the numerous </w:t>
      </w:r>
      <w:r>
        <w:rPr>
          <w:color w:val="000000" w:themeColor="text1"/>
        </w:rPr>
        <w:t xml:space="preserve">difficulties and </w:t>
      </w:r>
      <w:r w:rsidRPr="003948D4">
        <w:rPr>
          <w:color w:val="000000" w:themeColor="text1"/>
        </w:rPr>
        <w:t>challenges amidst the COVID 19 pandemic</w:t>
      </w:r>
      <w:r w:rsidR="0098269D">
        <w:rPr>
          <w:color w:val="000000" w:themeColor="text1"/>
        </w:rPr>
        <w:t>.</w:t>
      </w:r>
      <w:r w:rsidR="004B4CDE" w:rsidRPr="004B4CDE">
        <w:rPr>
          <w:color w:val="000000" w:themeColor="text1"/>
        </w:rPr>
        <w:t>The majority of the goals were met, with some even exceeding them.</w:t>
      </w:r>
      <w:r w:rsidR="0098269D">
        <w:rPr>
          <w:color w:val="000000" w:themeColor="text1"/>
        </w:rPr>
        <w:t xml:space="preserve"> </w:t>
      </w:r>
      <w:r w:rsidR="0098269D" w:rsidRPr="0098269D">
        <w:rPr>
          <w:color w:val="000000" w:themeColor="text1"/>
        </w:rPr>
        <w:t>The FO is responsible for meeting a number of performance goals. Despite these challenges, DSWD Field Office II was able to manage and surpass these numerous challenges, as evidenced by the achievements reported and the recognitions and awards received by the agency. Furthermore, the Field Office was able to form solid partnerships with all external stakeholders (RLAs, SUCs, and LGUs).</w:t>
      </w:r>
    </w:p>
    <w:p w14:paraId="53E0F5B4" w14:textId="703B0125" w:rsidR="00C94657" w:rsidRPr="003948D4" w:rsidRDefault="003C6E7B" w:rsidP="00C94657">
      <w:pPr>
        <w:spacing w:before="240" w:after="240"/>
        <w:jc w:val="both"/>
        <w:rPr>
          <w:color w:val="000000" w:themeColor="text1"/>
        </w:rPr>
      </w:pPr>
      <w:r>
        <w:rPr>
          <w:color w:val="000000" w:themeColor="text1"/>
        </w:rPr>
        <w:t>This</w:t>
      </w:r>
      <w:r w:rsidR="00C94657" w:rsidRPr="003948D4">
        <w:rPr>
          <w:color w:val="000000" w:themeColor="text1"/>
        </w:rPr>
        <w:t xml:space="preserve"> semestral assessment report reflects how </w:t>
      </w:r>
      <w:r>
        <w:rPr>
          <w:color w:val="000000" w:themeColor="text1"/>
        </w:rPr>
        <w:t>DSWD F02 was</w:t>
      </w:r>
      <w:r w:rsidR="00C94657" w:rsidRPr="003948D4">
        <w:rPr>
          <w:color w:val="000000" w:themeColor="text1"/>
        </w:rPr>
        <w:t xml:space="preserve"> able </w:t>
      </w:r>
      <w:r>
        <w:rPr>
          <w:color w:val="000000" w:themeColor="text1"/>
        </w:rPr>
        <w:t xml:space="preserve">to face the challenges and implement programs and services despite the </w:t>
      </w:r>
      <w:r w:rsidR="00C94657">
        <w:rPr>
          <w:color w:val="000000" w:themeColor="text1"/>
        </w:rPr>
        <w:t>minimal funding</w:t>
      </w:r>
      <w:r w:rsidR="00C94657" w:rsidRPr="003948D4">
        <w:rPr>
          <w:color w:val="000000" w:themeColor="text1"/>
        </w:rPr>
        <w:t xml:space="preserve"> resources</w:t>
      </w:r>
      <w:r>
        <w:rPr>
          <w:color w:val="000000" w:themeColor="text1"/>
        </w:rPr>
        <w:t xml:space="preserve">. The office </w:t>
      </w:r>
      <w:r w:rsidR="00023229">
        <w:rPr>
          <w:color w:val="000000" w:themeColor="text1"/>
        </w:rPr>
        <w:t xml:space="preserve">achieve </w:t>
      </w:r>
      <w:r w:rsidR="00023229" w:rsidRPr="003948D4">
        <w:rPr>
          <w:color w:val="000000" w:themeColor="text1"/>
        </w:rPr>
        <w:t>excellent</w:t>
      </w:r>
      <w:r w:rsidR="00C94657" w:rsidRPr="003948D4">
        <w:rPr>
          <w:color w:val="000000" w:themeColor="text1"/>
        </w:rPr>
        <w:t xml:space="preserve"> results </w:t>
      </w:r>
      <w:r>
        <w:rPr>
          <w:color w:val="000000" w:themeColor="text1"/>
        </w:rPr>
        <w:t xml:space="preserve">that are hope to have </w:t>
      </w:r>
      <w:r w:rsidR="00C94657" w:rsidRPr="003948D4">
        <w:rPr>
          <w:color w:val="000000" w:themeColor="text1"/>
        </w:rPr>
        <w:t>contributed to the shaping of a better social community for all.</w:t>
      </w:r>
    </w:p>
    <w:p w14:paraId="1D60AD1C" w14:textId="62091375" w:rsidR="00C94657" w:rsidRDefault="00C94657" w:rsidP="00C94657">
      <w:pPr>
        <w:spacing w:before="240" w:after="240"/>
        <w:jc w:val="both"/>
        <w:rPr>
          <w:color w:val="000000" w:themeColor="text1"/>
        </w:rPr>
      </w:pPr>
      <w:r w:rsidRPr="003948D4">
        <w:rPr>
          <w:color w:val="000000" w:themeColor="text1"/>
        </w:rPr>
        <w:t xml:space="preserve">The DSWD Field Office 2 is </w:t>
      </w:r>
      <w:r>
        <w:rPr>
          <w:color w:val="000000" w:themeColor="text1"/>
        </w:rPr>
        <w:t xml:space="preserve">very </w:t>
      </w:r>
      <w:r w:rsidRPr="003948D4">
        <w:rPr>
          <w:color w:val="000000" w:themeColor="text1"/>
        </w:rPr>
        <w:t xml:space="preserve">fortunate to have competent and hardworking </w:t>
      </w:r>
      <w:r>
        <w:rPr>
          <w:color w:val="000000" w:themeColor="text1"/>
        </w:rPr>
        <w:t>staff</w:t>
      </w:r>
      <w:r w:rsidRPr="003948D4">
        <w:rPr>
          <w:color w:val="000000" w:themeColor="text1"/>
        </w:rPr>
        <w:t xml:space="preserve">, as well as the Regional Director's tireless efforts and transformative leadership, </w:t>
      </w:r>
      <w:r>
        <w:rPr>
          <w:color w:val="000000" w:themeColor="text1"/>
        </w:rPr>
        <w:t>which</w:t>
      </w:r>
      <w:r w:rsidRPr="003948D4">
        <w:rPr>
          <w:color w:val="000000" w:themeColor="text1"/>
        </w:rPr>
        <w:t xml:space="preserve"> </w:t>
      </w:r>
      <w:r>
        <w:rPr>
          <w:color w:val="000000" w:themeColor="text1"/>
        </w:rPr>
        <w:t>are</w:t>
      </w:r>
      <w:r w:rsidRPr="003948D4">
        <w:rPr>
          <w:color w:val="000000" w:themeColor="text1"/>
        </w:rPr>
        <w:t xml:space="preserve"> significant </w:t>
      </w:r>
      <w:r>
        <w:rPr>
          <w:color w:val="000000" w:themeColor="text1"/>
        </w:rPr>
        <w:t>elements</w:t>
      </w:r>
      <w:r w:rsidRPr="003948D4">
        <w:rPr>
          <w:color w:val="000000" w:themeColor="text1"/>
        </w:rPr>
        <w:t xml:space="preserve"> in public service and </w:t>
      </w:r>
      <w:r>
        <w:rPr>
          <w:color w:val="000000" w:themeColor="text1"/>
        </w:rPr>
        <w:t>his</w:t>
      </w:r>
      <w:r w:rsidRPr="003948D4">
        <w:rPr>
          <w:color w:val="000000" w:themeColor="text1"/>
        </w:rPr>
        <w:t xml:space="preserve"> pursuit of performance excellence and continuous improvement.The DSWD Field Office 2 workforce</w:t>
      </w:r>
      <w:r>
        <w:rPr>
          <w:color w:val="000000" w:themeColor="text1"/>
        </w:rPr>
        <w:t xml:space="preserve"> and its officials</w:t>
      </w:r>
      <w:r w:rsidRPr="003948D4">
        <w:rPr>
          <w:color w:val="000000" w:themeColor="text1"/>
        </w:rPr>
        <w:t xml:space="preserve"> </w:t>
      </w:r>
      <w:r>
        <w:rPr>
          <w:color w:val="000000" w:themeColor="text1"/>
        </w:rPr>
        <w:t>are</w:t>
      </w:r>
      <w:r w:rsidRPr="003948D4">
        <w:rPr>
          <w:color w:val="000000" w:themeColor="text1"/>
        </w:rPr>
        <w:t xml:space="preserve"> likewise tenacious, adapting to changing circumstances and a</w:t>
      </w:r>
      <w:r>
        <w:rPr>
          <w:color w:val="000000" w:themeColor="text1"/>
        </w:rPr>
        <w:t>t the same time providing high</w:t>
      </w:r>
      <w:r w:rsidRPr="003948D4">
        <w:rPr>
          <w:color w:val="000000" w:themeColor="text1"/>
        </w:rPr>
        <w:t xml:space="preserve"> volume</w:t>
      </w:r>
      <w:r>
        <w:rPr>
          <w:color w:val="000000" w:themeColor="text1"/>
        </w:rPr>
        <w:t>s</w:t>
      </w:r>
      <w:r w:rsidRPr="003948D4">
        <w:rPr>
          <w:color w:val="000000" w:themeColor="text1"/>
        </w:rPr>
        <w:t xml:space="preserve"> of deliverables. </w:t>
      </w:r>
      <w:r>
        <w:rPr>
          <w:color w:val="000000" w:themeColor="text1"/>
        </w:rPr>
        <w:t>Additional s</w:t>
      </w:r>
      <w:r w:rsidRPr="003948D4">
        <w:rPr>
          <w:color w:val="000000" w:themeColor="text1"/>
        </w:rPr>
        <w:t xml:space="preserve">taff complementation is required for some programs, particularly in promotive and protective programs and services, because it affects the quality and quantity of deliverables, as well as </w:t>
      </w:r>
      <w:r>
        <w:rPr>
          <w:color w:val="000000" w:themeColor="text1"/>
        </w:rPr>
        <w:t>its</w:t>
      </w:r>
      <w:r w:rsidRPr="003948D4">
        <w:rPr>
          <w:color w:val="000000" w:themeColor="text1"/>
        </w:rPr>
        <w:t xml:space="preserve"> timeliness </w:t>
      </w:r>
      <w:r>
        <w:rPr>
          <w:color w:val="000000" w:themeColor="text1"/>
        </w:rPr>
        <w:t>in achieving its</w:t>
      </w:r>
      <w:r w:rsidRPr="003948D4">
        <w:rPr>
          <w:color w:val="000000" w:themeColor="text1"/>
        </w:rPr>
        <w:t xml:space="preserve"> Office Performance Contract commitment.</w:t>
      </w:r>
    </w:p>
    <w:p w14:paraId="1EB01E4A" w14:textId="5FAFC31D" w:rsidR="00023229" w:rsidRDefault="00C94657" w:rsidP="00023229">
      <w:pPr>
        <w:spacing w:before="240" w:after="240"/>
        <w:jc w:val="both"/>
        <w:rPr>
          <w:color w:val="000000" w:themeColor="text1"/>
        </w:rPr>
      </w:pPr>
      <w:r w:rsidRPr="003948D4">
        <w:rPr>
          <w:color w:val="000000" w:themeColor="text1"/>
        </w:rPr>
        <w:t>Close collaboration and open communication are critical to the activities' successful implementation. The DSWD Central Office</w:t>
      </w:r>
      <w:r>
        <w:rPr>
          <w:color w:val="000000" w:themeColor="text1"/>
        </w:rPr>
        <w:t>’s</w:t>
      </w:r>
      <w:r w:rsidRPr="003948D4">
        <w:rPr>
          <w:color w:val="000000" w:themeColor="text1"/>
        </w:rPr>
        <w:t> </w:t>
      </w:r>
      <w:r>
        <w:rPr>
          <w:color w:val="000000" w:themeColor="text1"/>
        </w:rPr>
        <w:t>guidance</w:t>
      </w:r>
      <w:r w:rsidRPr="003948D4">
        <w:rPr>
          <w:color w:val="000000" w:themeColor="text1"/>
        </w:rPr>
        <w:t xml:space="preserve"> and </w:t>
      </w:r>
      <w:r>
        <w:rPr>
          <w:color w:val="000000" w:themeColor="text1"/>
        </w:rPr>
        <w:t>timely</w:t>
      </w:r>
      <w:r w:rsidRPr="003948D4">
        <w:rPr>
          <w:color w:val="000000" w:themeColor="text1"/>
        </w:rPr>
        <w:t xml:space="preserve"> provision of technical assistance are also critical in completing the deliverables of the Field Office effectively and efficiently.</w:t>
      </w:r>
    </w:p>
    <w:p w14:paraId="1C7023A6" w14:textId="77777777" w:rsidR="00C94657" w:rsidRDefault="00C94657">
      <w:pPr>
        <w:rPr>
          <w:b/>
          <w:color w:val="000000" w:themeColor="text1"/>
        </w:rPr>
      </w:pPr>
      <w:r>
        <w:rPr>
          <w:b/>
          <w:color w:val="000000" w:themeColor="text1"/>
        </w:rPr>
        <w:t>IV. RECOMMENDATIONS</w:t>
      </w:r>
    </w:p>
    <w:p w14:paraId="1514641C" w14:textId="77777777" w:rsidR="00C94657" w:rsidRDefault="00C94657" w:rsidP="00DA5D8E">
      <w:pPr>
        <w:pStyle w:val="Default"/>
        <w:ind w:left="720"/>
      </w:pPr>
    </w:p>
    <w:p w14:paraId="4A51409E" w14:textId="77777777" w:rsidR="00C94657" w:rsidRDefault="00C94657" w:rsidP="00516AD6">
      <w:pPr>
        <w:pStyle w:val="Default"/>
        <w:numPr>
          <w:ilvl w:val="0"/>
          <w:numId w:val="3"/>
        </w:numPr>
        <w:spacing w:after="62"/>
        <w:rPr>
          <w:rFonts w:ascii="Arial" w:hAnsi="Arial" w:cs="Arial"/>
          <w:sz w:val="22"/>
          <w:szCs w:val="22"/>
        </w:rPr>
      </w:pPr>
      <w:r w:rsidRPr="00DA5D8E">
        <w:rPr>
          <w:rFonts w:ascii="Arial" w:hAnsi="Arial" w:cs="Arial"/>
          <w:sz w:val="22"/>
          <w:szCs w:val="22"/>
        </w:rPr>
        <w:t xml:space="preserve">Strengthen the advocacy campaign of social protection programs and social welfare and development laws to ensure compliance of LGUs by legislating SWD laws to address local sectoral concerns. </w:t>
      </w:r>
    </w:p>
    <w:p w14:paraId="7200C5A3" w14:textId="77777777" w:rsidR="00023229" w:rsidRPr="00DA5D8E" w:rsidRDefault="00023229" w:rsidP="00023229">
      <w:pPr>
        <w:pStyle w:val="Default"/>
        <w:spacing w:after="62"/>
        <w:ind w:left="720"/>
        <w:rPr>
          <w:rFonts w:ascii="Arial" w:hAnsi="Arial" w:cs="Arial"/>
          <w:sz w:val="22"/>
          <w:szCs w:val="22"/>
        </w:rPr>
      </w:pPr>
    </w:p>
    <w:p w14:paraId="2A28BAF3" w14:textId="77777777" w:rsidR="00C94657" w:rsidRDefault="00C94657" w:rsidP="00516AD6">
      <w:pPr>
        <w:pStyle w:val="Default"/>
        <w:numPr>
          <w:ilvl w:val="0"/>
          <w:numId w:val="3"/>
        </w:numPr>
        <w:rPr>
          <w:rFonts w:ascii="Arial" w:hAnsi="Arial" w:cs="Arial"/>
          <w:sz w:val="22"/>
          <w:szCs w:val="22"/>
        </w:rPr>
      </w:pPr>
      <w:r w:rsidRPr="00DA5D8E">
        <w:rPr>
          <w:rFonts w:ascii="Arial" w:hAnsi="Arial" w:cs="Arial"/>
          <w:sz w:val="22"/>
          <w:szCs w:val="22"/>
        </w:rPr>
        <w:lastRenderedPageBreak/>
        <w:t xml:space="preserve">Strengthen the Technical Assistance and Resource Augmentation (TARA) program of the Field Office and establish a mechanism region to harmonize the Regional, Provincial, and Local structures to enhance technical assistance provision to LGUs and intermediaries along with sectoral and program concerns. </w:t>
      </w:r>
    </w:p>
    <w:p w14:paraId="22AAFB0C" w14:textId="77777777" w:rsidR="00023229" w:rsidRPr="00DA5D8E" w:rsidRDefault="00023229" w:rsidP="00023229">
      <w:pPr>
        <w:pStyle w:val="Default"/>
        <w:rPr>
          <w:rFonts w:ascii="Arial" w:hAnsi="Arial" w:cs="Arial"/>
          <w:sz w:val="22"/>
          <w:szCs w:val="22"/>
        </w:rPr>
      </w:pPr>
    </w:p>
    <w:p w14:paraId="7798D60A" w14:textId="77777777" w:rsidR="00C94657" w:rsidRDefault="00DA5D8E" w:rsidP="00516AD6">
      <w:pPr>
        <w:pStyle w:val="ListParagraph"/>
        <w:numPr>
          <w:ilvl w:val="0"/>
          <w:numId w:val="3"/>
        </w:numPr>
        <w:jc w:val="both"/>
        <w:rPr>
          <w:b/>
          <w:color w:val="000000" w:themeColor="text1"/>
        </w:rPr>
      </w:pPr>
      <w:r w:rsidRPr="00DA5D8E">
        <w:rPr>
          <w:color w:val="000000" w:themeColor="text1"/>
        </w:rPr>
        <w:t xml:space="preserve">Continued leadership of the Field Office along Social Protection Programs </w:t>
      </w:r>
      <w:r w:rsidR="00F564DF">
        <w:rPr>
          <w:color w:val="000000" w:themeColor="text1"/>
        </w:rPr>
        <w:t xml:space="preserve">and services </w:t>
      </w:r>
      <w:r w:rsidRPr="00DA5D8E">
        <w:rPr>
          <w:color w:val="000000" w:themeColor="text1"/>
        </w:rPr>
        <w:t>using the various regional inter-agency committees such as the RSCWC, RJJWC, RIACAT VAWC-ACP, RIAC FF, and RCDA</w:t>
      </w:r>
      <w:r w:rsidRPr="00DA5D8E">
        <w:rPr>
          <w:b/>
          <w:color w:val="000000" w:themeColor="text1"/>
        </w:rPr>
        <w:t>.</w:t>
      </w:r>
    </w:p>
    <w:p w14:paraId="5265708C" w14:textId="77777777" w:rsidR="00023229" w:rsidRPr="00023229" w:rsidRDefault="00023229" w:rsidP="00023229">
      <w:pPr>
        <w:jc w:val="both"/>
        <w:rPr>
          <w:b/>
          <w:color w:val="000000" w:themeColor="text1"/>
        </w:rPr>
      </w:pPr>
    </w:p>
    <w:p w14:paraId="3D582EB3" w14:textId="77777777" w:rsidR="007364D3" w:rsidRDefault="004B4CDE" w:rsidP="00516AD6">
      <w:pPr>
        <w:pStyle w:val="ListParagraph"/>
        <w:numPr>
          <w:ilvl w:val="0"/>
          <w:numId w:val="3"/>
        </w:numPr>
        <w:jc w:val="both"/>
        <w:rPr>
          <w:color w:val="000000" w:themeColor="text1"/>
        </w:rPr>
      </w:pPr>
      <w:r w:rsidRPr="004B4CDE">
        <w:rPr>
          <w:color w:val="000000" w:themeColor="text1"/>
        </w:rPr>
        <w:t>Provision of prompt technical assistance to respective programs and services by respective NPMOs and Bureaus, including orientations on new policies and trainings to avoid implementation delays. </w:t>
      </w:r>
    </w:p>
    <w:p w14:paraId="0822F10D" w14:textId="77777777" w:rsidR="00023229" w:rsidRPr="00023229" w:rsidRDefault="00023229" w:rsidP="00023229">
      <w:pPr>
        <w:jc w:val="both"/>
        <w:rPr>
          <w:color w:val="000000" w:themeColor="text1"/>
        </w:rPr>
      </w:pPr>
    </w:p>
    <w:p w14:paraId="7B04669C" w14:textId="77777777" w:rsidR="007364D3" w:rsidRDefault="007364D3" w:rsidP="00516AD6">
      <w:pPr>
        <w:pStyle w:val="ListParagraph"/>
        <w:numPr>
          <w:ilvl w:val="0"/>
          <w:numId w:val="3"/>
        </w:numPr>
        <w:jc w:val="both"/>
        <w:rPr>
          <w:color w:val="000000" w:themeColor="text1"/>
        </w:rPr>
      </w:pPr>
      <w:r w:rsidRPr="007364D3">
        <w:rPr>
          <w:color w:val="000000" w:themeColor="text1"/>
        </w:rPr>
        <w:t xml:space="preserve">EPHAP </w:t>
      </w:r>
      <w:r w:rsidR="00F564DF">
        <w:rPr>
          <w:color w:val="000000" w:themeColor="text1"/>
        </w:rPr>
        <w:t>to</w:t>
      </w:r>
      <w:r w:rsidRPr="007364D3">
        <w:rPr>
          <w:color w:val="000000" w:themeColor="text1"/>
        </w:rPr>
        <w:t xml:space="preserve"> closely </w:t>
      </w:r>
      <w:r w:rsidR="00F564DF">
        <w:rPr>
          <w:color w:val="000000" w:themeColor="text1"/>
        </w:rPr>
        <w:t xml:space="preserve">collaborate </w:t>
      </w:r>
      <w:r w:rsidRPr="007364D3">
        <w:rPr>
          <w:color w:val="000000" w:themeColor="text1"/>
        </w:rPr>
        <w:t>with partners to identify alternative needs-based skill training options as well as the project's launch timeline. Expand its collaboration with higher education, the media, civil society organizations, and the private sector to implement zero hunger and zero poverty programs.</w:t>
      </w:r>
    </w:p>
    <w:p w14:paraId="7C752A7D" w14:textId="77777777" w:rsidR="00023229" w:rsidRPr="00023229" w:rsidRDefault="00023229" w:rsidP="00023229">
      <w:pPr>
        <w:jc w:val="both"/>
        <w:rPr>
          <w:color w:val="000000" w:themeColor="text1"/>
        </w:rPr>
      </w:pPr>
    </w:p>
    <w:p w14:paraId="72E169DA" w14:textId="77777777" w:rsidR="00A31999" w:rsidRDefault="00221F07" w:rsidP="00516AD6">
      <w:pPr>
        <w:pStyle w:val="ListParagraph"/>
        <w:numPr>
          <w:ilvl w:val="0"/>
          <w:numId w:val="3"/>
        </w:numPr>
        <w:jc w:val="both"/>
        <w:rPr>
          <w:color w:val="000000" w:themeColor="text1"/>
        </w:rPr>
      </w:pPr>
      <w:r w:rsidRPr="00221F07">
        <w:rPr>
          <w:color w:val="000000" w:themeColor="text1"/>
        </w:rPr>
        <w:t xml:space="preserve">For CVRRCY, continuous dialogue with the counsels and courts of four (4) residents whose cases are on-trial. </w:t>
      </w:r>
    </w:p>
    <w:p w14:paraId="5A81E966" w14:textId="77777777" w:rsidR="00023229" w:rsidRPr="00023229" w:rsidRDefault="00023229" w:rsidP="00023229">
      <w:pPr>
        <w:jc w:val="both"/>
        <w:rPr>
          <w:color w:val="000000" w:themeColor="text1"/>
        </w:rPr>
      </w:pPr>
    </w:p>
    <w:p w14:paraId="4CA6C1B6" w14:textId="77777777" w:rsidR="007364D3" w:rsidRDefault="00A31999" w:rsidP="00516AD6">
      <w:pPr>
        <w:pStyle w:val="ListParagraph"/>
        <w:numPr>
          <w:ilvl w:val="0"/>
          <w:numId w:val="3"/>
        </w:numPr>
        <w:jc w:val="both"/>
        <w:rPr>
          <w:color w:val="000000" w:themeColor="text1"/>
        </w:rPr>
      </w:pPr>
      <w:r w:rsidRPr="00A31999">
        <w:rPr>
          <w:color w:val="000000" w:themeColor="text1"/>
        </w:rPr>
        <w:t xml:space="preserve">Full management support for </w:t>
      </w:r>
      <w:r>
        <w:rPr>
          <w:color w:val="000000" w:themeColor="text1"/>
        </w:rPr>
        <w:t xml:space="preserve">the needs of the </w:t>
      </w:r>
      <w:r w:rsidRPr="00A31999">
        <w:rPr>
          <w:color w:val="000000" w:themeColor="text1"/>
        </w:rPr>
        <w:t xml:space="preserve">SFP staff to deliver </w:t>
      </w:r>
      <w:r>
        <w:rPr>
          <w:color w:val="000000" w:themeColor="text1"/>
        </w:rPr>
        <w:t>programs</w:t>
      </w:r>
      <w:r w:rsidRPr="00A31999">
        <w:rPr>
          <w:color w:val="000000" w:themeColor="text1"/>
        </w:rPr>
        <w:t>/services down to the city, municipal</w:t>
      </w:r>
      <w:r>
        <w:rPr>
          <w:color w:val="000000" w:themeColor="text1"/>
        </w:rPr>
        <w:t>,</w:t>
      </w:r>
      <w:r w:rsidRPr="00A31999">
        <w:rPr>
          <w:color w:val="000000" w:themeColor="text1"/>
        </w:rPr>
        <w:t xml:space="preserve"> and barangay levels. Strong partnership and coordination/collaboration with Municipal Social Welfare and Development Officers (MSWDOs) to LGUs on the Supplementary Feeding program implementation.</w:t>
      </w:r>
    </w:p>
    <w:p w14:paraId="1B5B015C" w14:textId="77777777" w:rsidR="00023229" w:rsidRPr="00023229" w:rsidRDefault="00023229" w:rsidP="00023229">
      <w:pPr>
        <w:jc w:val="both"/>
        <w:rPr>
          <w:color w:val="000000" w:themeColor="text1"/>
        </w:rPr>
      </w:pPr>
    </w:p>
    <w:p w14:paraId="34624426" w14:textId="77777777" w:rsidR="00A31999" w:rsidRDefault="0036646D" w:rsidP="00516AD6">
      <w:pPr>
        <w:pStyle w:val="ListParagraph"/>
        <w:numPr>
          <w:ilvl w:val="0"/>
          <w:numId w:val="3"/>
        </w:numPr>
        <w:jc w:val="both"/>
        <w:rPr>
          <w:color w:val="000000" w:themeColor="text1"/>
        </w:rPr>
      </w:pPr>
      <w:r w:rsidRPr="000A568F">
        <w:rPr>
          <w:color w:val="000000" w:themeColor="text1"/>
        </w:rPr>
        <w:t>On Social Technology, continuous provision of technical assistance and monitoring of the implementation of the project and constant follow-ups with LGUs with submitted E</w:t>
      </w:r>
      <w:r w:rsidR="000A568F">
        <w:rPr>
          <w:color w:val="000000" w:themeColor="text1"/>
        </w:rPr>
        <w:t>xpression of Interest</w:t>
      </w:r>
      <w:r w:rsidRPr="000A568F">
        <w:rPr>
          <w:color w:val="000000" w:themeColor="text1"/>
        </w:rPr>
        <w:t xml:space="preserve"> to replicate completed social technologies. Enhance lobbying through scheduled field visits and possible </w:t>
      </w:r>
      <w:r w:rsidR="0008788E" w:rsidRPr="000A568F">
        <w:rPr>
          <w:color w:val="000000" w:themeColor="text1"/>
        </w:rPr>
        <w:t>meetings</w:t>
      </w:r>
      <w:r w:rsidRPr="000A568F">
        <w:rPr>
          <w:color w:val="000000" w:themeColor="text1"/>
        </w:rPr>
        <w:t xml:space="preserve"> and/or orientation with the LCE and Sangguniang Bayan (SB) </w:t>
      </w:r>
      <w:r w:rsidR="0008788E" w:rsidRPr="000A568F">
        <w:rPr>
          <w:color w:val="000000" w:themeColor="text1"/>
        </w:rPr>
        <w:t>members</w:t>
      </w:r>
      <w:r w:rsidRPr="000A568F">
        <w:rPr>
          <w:color w:val="000000" w:themeColor="text1"/>
        </w:rPr>
        <w:t>.</w:t>
      </w:r>
      <w:r w:rsidR="0008788E" w:rsidRPr="000A568F">
        <w:rPr>
          <w:color w:val="000000" w:themeColor="text1"/>
        </w:rPr>
        <w:t xml:space="preserve"> </w:t>
      </w:r>
    </w:p>
    <w:p w14:paraId="05AF6011" w14:textId="77777777" w:rsidR="00023229" w:rsidRPr="00023229" w:rsidRDefault="00023229" w:rsidP="00023229">
      <w:pPr>
        <w:jc w:val="both"/>
        <w:rPr>
          <w:color w:val="000000" w:themeColor="text1"/>
        </w:rPr>
      </w:pPr>
    </w:p>
    <w:p w14:paraId="38DD4843" w14:textId="77777777" w:rsidR="0036646D" w:rsidRDefault="000A568F" w:rsidP="00516AD6">
      <w:pPr>
        <w:pStyle w:val="ListParagraph"/>
        <w:numPr>
          <w:ilvl w:val="0"/>
          <w:numId w:val="3"/>
        </w:numPr>
        <w:jc w:val="both"/>
        <w:rPr>
          <w:color w:val="000000" w:themeColor="text1"/>
        </w:rPr>
      </w:pPr>
      <w:r w:rsidRPr="000A568F">
        <w:rPr>
          <w:color w:val="000000" w:themeColor="text1"/>
        </w:rPr>
        <w:t>Continuous advocacy and maintaining convergence of efforts of all stakeholders from the DSWD Central Office and Field Office to the LGU level in the replication, implementation and institutionalization of timely, appropriate and improved social technologies for the well-being of the vulnerable, disadvantaged and poor members of the society must be undertaken for the effective and efficient delivery of social welfare and development programs and services up to the intended recipients. Likewise, the efforts of the Department in coming up with new</w:t>
      </w:r>
      <w:r w:rsidR="005E3E96">
        <w:rPr>
          <w:color w:val="000000" w:themeColor="text1"/>
        </w:rPr>
        <w:t xml:space="preserve"> </w:t>
      </w:r>
      <w:r w:rsidRPr="005E3E96">
        <w:rPr>
          <w:color w:val="000000" w:themeColor="text1"/>
        </w:rPr>
        <w:t>and enhanced social technologies to address the emerging needs of the vulnerable sectors are greatly appreciated and all stakeholders are encouraged to participate in this endeavor.</w:t>
      </w:r>
    </w:p>
    <w:p w14:paraId="580BFB8A" w14:textId="77777777" w:rsidR="00023229" w:rsidRPr="00023229" w:rsidRDefault="00023229" w:rsidP="00023229">
      <w:pPr>
        <w:jc w:val="both"/>
        <w:rPr>
          <w:color w:val="000000" w:themeColor="text1"/>
        </w:rPr>
      </w:pPr>
    </w:p>
    <w:p w14:paraId="1C29FFBE" w14:textId="77777777" w:rsidR="005E3E96" w:rsidRPr="00023229" w:rsidRDefault="005E3E96" w:rsidP="00516AD6">
      <w:pPr>
        <w:pStyle w:val="ListParagraph"/>
        <w:numPr>
          <w:ilvl w:val="0"/>
          <w:numId w:val="3"/>
        </w:numPr>
        <w:jc w:val="both"/>
        <w:rPr>
          <w:color w:val="000000" w:themeColor="text1"/>
        </w:rPr>
      </w:pPr>
      <w:r>
        <w:rPr>
          <w:color w:val="000000"/>
        </w:rPr>
        <w:t>Maximize the use of QR code for hiring and bidding IEC materials to further drive traffic to DSWD FO2 and PhilGEPS’ websites</w:t>
      </w:r>
    </w:p>
    <w:p w14:paraId="7C271342" w14:textId="77777777" w:rsidR="00023229" w:rsidRPr="00023229" w:rsidRDefault="00023229" w:rsidP="00023229">
      <w:pPr>
        <w:ind w:left="360"/>
        <w:jc w:val="both"/>
        <w:rPr>
          <w:color w:val="000000" w:themeColor="text1"/>
        </w:rPr>
      </w:pPr>
    </w:p>
    <w:p w14:paraId="1244E7DB" w14:textId="77777777" w:rsidR="005E3E96" w:rsidRPr="00023229" w:rsidRDefault="005E3E96" w:rsidP="00516AD6">
      <w:pPr>
        <w:pStyle w:val="ListParagraph"/>
        <w:numPr>
          <w:ilvl w:val="0"/>
          <w:numId w:val="3"/>
        </w:numPr>
        <w:jc w:val="both"/>
        <w:rPr>
          <w:color w:val="000000" w:themeColor="text1"/>
        </w:rPr>
      </w:pPr>
      <w:r>
        <w:rPr>
          <w:color w:val="000000"/>
        </w:rPr>
        <w:t>Utilization of localized social media calendar to ensure relevant and timely posting of contents to FO’s FB page.</w:t>
      </w:r>
    </w:p>
    <w:p w14:paraId="1473B09D" w14:textId="77777777" w:rsidR="00023229" w:rsidRPr="00023229" w:rsidRDefault="00023229" w:rsidP="00023229">
      <w:pPr>
        <w:jc w:val="both"/>
        <w:rPr>
          <w:color w:val="000000" w:themeColor="text1"/>
        </w:rPr>
      </w:pPr>
      <w:bookmarkStart w:id="0" w:name="_GoBack"/>
      <w:bookmarkEnd w:id="0"/>
    </w:p>
    <w:p w14:paraId="787F6923" w14:textId="77777777" w:rsidR="005E3E96" w:rsidRPr="007B290F" w:rsidRDefault="005E3E96" w:rsidP="00516AD6">
      <w:pPr>
        <w:numPr>
          <w:ilvl w:val="0"/>
          <w:numId w:val="3"/>
        </w:numPr>
        <w:spacing w:line="240" w:lineRule="auto"/>
        <w:jc w:val="both"/>
        <w:textAlignment w:val="baseline"/>
        <w:rPr>
          <w:rFonts w:eastAsia="Times New Roman"/>
          <w:color w:val="000000"/>
          <w:lang w:val="en-PH" w:eastAsia="en-PH"/>
        </w:rPr>
      </w:pPr>
      <w:r w:rsidRPr="007B290F">
        <w:rPr>
          <w:rFonts w:eastAsia="Times New Roman"/>
          <w:color w:val="000000"/>
          <w:lang w:val="en-PH" w:eastAsia="en-PH"/>
        </w:rPr>
        <w:t>Strong partnership with the LNet, CGS, IDCB and KSS focal persons and KM team made the SWIDS’ operations productive, meeting its thrusts, targets, and strategic priorities and organizational outcome despite challenges.</w:t>
      </w:r>
    </w:p>
    <w:p w14:paraId="4AF166D7" w14:textId="77777777" w:rsidR="007B290F" w:rsidRPr="007B290F" w:rsidRDefault="007B290F" w:rsidP="00516AD6">
      <w:pPr>
        <w:numPr>
          <w:ilvl w:val="0"/>
          <w:numId w:val="3"/>
        </w:numPr>
        <w:spacing w:line="240" w:lineRule="auto"/>
        <w:jc w:val="both"/>
        <w:textAlignment w:val="baseline"/>
        <w:rPr>
          <w:rFonts w:eastAsia="Times New Roman"/>
          <w:color w:val="000000"/>
          <w:lang w:val="en-PH" w:eastAsia="en-PH"/>
        </w:rPr>
      </w:pPr>
      <w:r w:rsidRPr="007B290F">
        <w:rPr>
          <w:rFonts w:eastAsia="Times New Roman"/>
          <w:color w:val="000000"/>
          <w:lang w:val="en-PH" w:eastAsia="en-PH"/>
        </w:rPr>
        <w:lastRenderedPageBreak/>
        <w:t>Programs should ensure the completeness and correctness of the supporting documents attached to liquidation reports to comply with the Government Accounting Manual and COA Circulars.</w:t>
      </w:r>
    </w:p>
    <w:p w14:paraId="2A031B27" w14:textId="77777777" w:rsidR="007B290F" w:rsidRPr="007B290F" w:rsidRDefault="007B290F" w:rsidP="00516AD6">
      <w:pPr>
        <w:numPr>
          <w:ilvl w:val="0"/>
          <w:numId w:val="3"/>
        </w:numPr>
        <w:spacing w:line="240" w:lineRule="auto"/>
        <w:jc w:val="both"/>
        <w:textAlignment w:val="baseline"/>
        <w:rPr>
          <w:rFonts w:eastAsia="Times New Roman"/>
          <w:color w:val="000000"/>
          <w:lang w:val="en-PH" w:eastAsia="en-PH"/>
        </w:rPr>
      </w:pPr>
      <w:r w:rsidRPr="007B290F">
        <w:rPr>
          <w:rFonts w:eastAsia="Times New Roman"/>
          <w:color w:val="000000"/>
          <w:lang w:val="en-PH" w:eastAsia="en-PH"/>
        </w:rPr>
        <w:t>Implementation of projects should take into consideration the early utilization of funds following the Monthly Disbursement Program to avoid lapsing of funds.</w:t>
      </w:r>
    </w:p>
    <w:p w14:paraId="543560DD" w14:textId="77777777" w:rsidR="005E3E96" w:rsidRPr="005E3E96" w:rsidRDefault="005E3E96" w:rsidP="007B290F">
      <w:pPr>
        <w:pStyle w:val="ListParagraph"/>
        <w:jc w:val="both"/>
        <w:rPr>
          <w:color w:val="000000" w:themeColor="text1"/>
        </w:rPr>
      </w:pPr>
    </w:p>
    <w:p w14:paraId="1ED1D2E2" w14:textId="77777777" w:rsidR="007364D3" w:rsidRDefault="007364D3" w:rsidP="007364D3">
      <w:pPr>
        <w:rPr>
          <w:color w:val="000000" w:themeColor="text1"/>
        </w:rPr>
      </w:pPr>
    </w:p>
    <w:p w14:paraId="7293DE59" w14:textId="229F8397" w:rsidR="00C94657" w:rsidRPr="007364D3" w:rsidRDefault="00C94657" w:rsidP="007364D3">
      <w:pPr>
        <w:rPr>
          <w:color w:val="000000" w:themeColor="text1"/>
        </w:rPr>
      </w:pPr>
      <w:r w:rsidRPr="007364D3">
        <w:rPr>
          <w:color w:val="000000" w:themeColor="text1"/>
        </w:rPr>
        <w:t xml:space="preserve">Prepared by: </w:t>
      </w:r>
      <w:r w:rsidRPr="007364D3">
        <w:rPr>
          <w:color w:val="000000" w:themeColor="text1"/>
        </w:rPr>
        <w:tab/>
      </w:r>
      <w:r w:rsidRPr="007364D3">
        <w:rPr>
          <w:color w:val="000000" w:themeColor="text1"/>
        </w:rPr>
        <w:tab/>
      </w:r>
      <w:r w:rsidRPr="007364D3">
        <w:rPr>
          <w:color w:val="000000" w:themeColor="text1"/>
        </w:rPr>
        <w:tab/>
      </w:r>
      <w:r w:rsidRPr="007364D3">
        <w:rPr>
          <w:color w:val="000000" w:themeColor="text1"/>
        </w:rPr>
        <w:tab/>
      </w:r>
      <w:r w:rsidRPr="007364D3">
        <w:rPr>
          <w:color w:val="000000" w:themeColor="text1"/>
        </w:rPr>
        <w:tab/>
      </w:r>
      <w:r w:rsidRPr="007364D3">
        <w:rPr>
          <w:color w:val="000000" w:themeColor="text1"/>
        </w:rPr>
        <w:tab/>
        <w:t xml:space="preserve">Reviewed by: </w:t>
      </w:r>
    </w:p>
    <w:p w14:paraId="2DC5E9A7" w14:textId="77777777" w:rsidR="00C94657" w:rsidRDefault="00C94657" w:rsidP="00C94657">
      <w:pPr>
        <w:spacing w:before="240" w:after="240"/>
        <w:jc w:val="both"/>
        <w:rPr>
          <w:color w:val="000000" w:themeColor="text1"/>
        </w:rPr>
      </w:pPr>
    </w:p>
    <w:p w14:paraId="1CA1861C" w14:textId="5BF0093E" w:rsidR="00C94657" w:rsidRPr="003948D4" w:rsidRDefault="00C94657" w:rsidP="00C94657">
      <w:pPr>
        <w:spacing w:line="240" w:lineRule="auto"/>
        <w:jc w:val="both"/>
        <w:rPr>
          <w:b/>
          <w:color w:val="000000" w:themeColor="text1"/>
        </w:rPr>
      </w:pPr>
      <w:r w:rsidRPr="003948D4">
        <w:rPr>
          <w:b/>
          <w:color w:val="000000" w:themeColor="text1"/>
        </w:rPr>
        <w:t>AL V. DELA CRUZ</w:t>
      </w:r>
      <w:r w:rsidRPr="003948D4">
        <w:rPr>
          <w:b/>
          <w:color w:val="000000" w:themeColor="text1"/>
        </w:rPr>
        <w:tab/>
      </w:r>
      <w:r w:rsidRPr="003948D4">
        <w:rPr>
          <w:b/>
          <w:color w:val="000000" w:themeColor="text1"/>
        </w:rPr>
        <w:tab/>
      </w:r>
      <w:r w:rsidRPr="003948D4">
        <w:rPr>
          <w:b/>
          <w:color w:val="000000" w:themeColor="text1"/>
        </w:rPr>
        <w:tab/>
      </w:r>
      <w:r w:rsidRPr="003948D4">
        <w:rPr>
          <w:b/>
          <w:color w:val="000000" w:themeColor="text1"/>
        </w:rPr>
        <w:tab/>
      </w:r>
      <w:r w:rsidRPr="003948D4">
        <w:rPr>
          <w:b/>
          <w:color w:val="000000" w:themeColor="text1"/>
        </w:rPr>
        <w:tab/>
        <w:t>DULCENEAH LYRA F. DELA CRUZ</w:t>
      </w:r>
    </w:p>
    <w:p w14:paraId="7BA29CDC" w14:textId="5C87F931" w:rsidR="00C94657" w:rsidRDefault="00C94657" w:rsidP="00C94657">
      <w:pPr>
        <w:spacing w:line="240" w:lineRule="auto"/>
        <w:jc w:val="both"/>
        <w:rPr>
          <w:color w:val="000000" w:themeColor="text1"/>
        </w:rPr>
      </w:pPr>
      <w:r>
        <w:rPr>
          <w:color w:val="000000" w:themeColor="text1"/>
        </w:rPr>
        <w:t>Planning Officer II</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Planning Officer IV, PDPS Head</w:t>
      </w:r>
    </w:p>
    <w:p w14:paraId="2868A912" w14:textId="77777777" w:rsidR="00C94657" w:rsidRDefault="00C94657" w:rsidP="00C94657">
      <w:pPr>
        <w:spacing w:line="240" w:lineRule="auto"/>
        <w:jc w:val="both"/>
        <w:rPr>
          <w:color w:val="000000" w:themeColor="text1"/>
        </w:rPr>
      </w:pPr>
    </w:p>
    <w:p w14:paraId="522AE8D6" w14:textId="77777777" w:rsidR="00C94657" w:rsidRDefault="00C94657" w:rsidP="00C94657">
      <w:pPr>
        <w:spacing w:line="240" w:lineRule="auto"/>
        <w:jc w:val="both"/>
        <w:rPr>
          <w:color w:val="000000" w:themeColor="text1"/>
        </w:rPr>
      </w:pPr>
    </w:p>
    <w:p w14:paraId="533336A7" w14:textId="77777777" w:rsidR="00C94657" w:rsidRDefault="00C94657" w:rsidP="00C94657">
      <w:pPr>
        <w:spacing w:line="240" w:lineRule="auto"/>
        <w:jc w:val="both"/>
        <w:rPr>
          <w:color w:val="000000" w:themeColor="text1"/>
        </w:rPr>
      </w:pPr>
    </w:p>
    <w:p w14:paraId="6EC4877F" w14:textId="676FB5A0" w:rsidR="00C94657" w:rsidRDefault="00C94657" w:rsidP="00C94657">
      <w:pPr>
        <w:spacing w:line="240" w:lineRule="auto"/>
        <w:jc w:val="both"/>
        <w:rPr>
          <w:color w:val="000000" w:themeColor="text1"/>
        </w:rPr>
      </w:pPr>
      <w:r>
        <w:rPr>
          <w:color w:val="000000" w:themeColor="text1"/>
        </w:rPr>
        <w:t xml:space="preserve">Recommending Approval: </w:t>
      </w:r>
      <w:r>
        <w:rPr>
          <w:color w:val="000000" w:themeColor="text1"/>
        </w:rPr>
        <w:tab/>
      </w:r>
      <w:r>
        <w:rPr>
          <w:color w:val="000000" w:themeColor="text1"/>
        </w:rPr>
        <w:tab/>
      </w:r>
      <w:r>
        <w:rPr>
          <w:color w:val="000000" w:themeColor="text1"/>
        </w:rPr>
        <w:tab/>
      </w:r>
      <w:r>
        <w:rPr>
          <w:color w:val="000000" w:themeColor="text1"/>
        </w:rPr>
        <w:tab/>
        <w:t xml:space="preserve">Approved by: </w:t>
      </w:r>
    </w:p>
    <w:p w14:paraId="048F0362" w14:textId="77777777" w:rsidR="00C94657" w:rsidRDefault="00C94657" w:rsidP="00C94657">
      <w:pPr>
        <w:spacing w:line="240" w:lineRule="auto"/>
        <w:jc w:val="both"/>
        <w:rPr>
          <w:color w:val="000000" w:themeColor="text1"/>
        </w:rPr>
      </w:pPr>
    </w:p>
    <w:p w14:paraId="7D817DF8" w14:textId="77777777" w:rsidR="00C94657" w:rsidRDefault="00C94657" w:rsidP="00C94657">
      <w:pPr>
        <w:spacing w:line="240" w:lineRule="auto"/>
        <w:jc w:val="both"/>
        <w:rPr>
          <w:color w:val="000000" w:themeColor="text1"/>
        </w:rPr>
      </w:pPr>
    </w:p>
    <w:p w14:paraId="6BCA9C36" w14:textId="43979963" w:rsidR="00C94657" w:rsidRDefault="00C94657" w:rsidP="00C94657">
      <w:pPr>
        <w:spacing w:line="240" w:lineRule="auto"/>
        <w:jc w:val="both"/>
        <w:rPr>
          <w:color w:val="000000" w:themeColor="text1"/>
        </w:rPr>
      </w:pPr>
      <w:r>
        <w:rPr>
          <w:b/>
          <w:color w:val="000000" w:themeColor="text1"/>
        </w:rPr>
        <w:t>CHANDA T. API</w:t>
      </w:r>
      <w:r>
        <w:rPr>
          <w:b/>
          <w:color w:val="000000" w:themeColor="text1"/>
        </w:rPr>
        <w:tab/>
      </w:r>
      <w:r>
        <w:rPr>
          <w:b/>
          <w:color w:val="000000" w:themeColor="text1"/>
        </w:rPr>
        <w:tab/>
      </w:r>
      <w:r w:rsidRPr="003948D4">
        <w:rPr>
          <w:b/>
          <w:color w:val="000000" w:themeColor="text1"/>
        </w:rPr>
        <w:tab/>
      </w:r>
      <w:r w:rsidRPr="003948D4">
        <w:rPr>
          <w:b/>
          <w:color w:val="000000" w:themeColor="text1"/>
        </w:rPr>
        <w:tab/>
      </w:r>
      <w:r w:rsidRPr="003948D4">
        <w:rPr>
          <w:b/>
          <w:color w:val="000000" w:themeColor="text1"/>
        </w:rPr>
        <w:tab/>
        <w:t>CEZARIO JOEL C. ESPEJO</w:t>
      </w:r>
    </w:p>
    <w:p w14:paraId="56D7AD0A" w14:textId="29E431C6" w:rsidR="00C94657" w:rsidRDefault="00C94657" w:rsidP="00C94657">
      <w:pPr>
        <w:spacing w:line="240" w:lineRule="auto"/>
        <w:jc w:val="both"/>
        <w:rPr>
          <w:color w:val="000000" w:themeColor="text1"/>
        </w:rPr>
      </w:pPr>
      <w:r>
        <w:rPr>
          <w:color w:val="000000" w:themeColor="text1"/>
        </w:rPr>
        <w:t>SWO IV, OIC PPD Chief</w:t>
      </w:r>
      <w:r>
        <w:rPr>
          <w:color w:val="000000" w:themeColor="text1"/>
        </w:rPr>
        <w:tab/>
      </w:r>
      <w:r>
        <w:rPr>
          <w:color w:val="000000" w:themeColor="text1"/>
        </w:rPr>
        <w:tab/>
      </w:r>
      <w:r>
        <w:rPr>
          <w:color w:val="000000" w:themeColor="text1"/>
        </w:rPr>
        <w:tab/>
      </w:r>
      <w:r>
        <w:rPr>
          <w:color w:val="000000" w:themeColor="text1"/>
        </w:rPr>
        <w:tab/>
        <w:t>Regional Director</w:t>
      </w:r>
    </w:p>
    <w:p w14:paraId="2B16485A" w14:textId="77777777" w:rsidR="00C94657" w:rsidRDefault="00C94657"/>
    <w:sectPr w:rsidR="00C94657" w:rsidSect="007B290F">
      <w:footerReference w:type="default" r:id="rId11"/>
      <w:pgSz w:w="11907" w:h="16839" w:code="9"/>
      <w:pgMar w:top="709"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7446C" w14:textId="77777777" w:rsidR="00822324" w:rsidRDefault="00822324" w:rsidP="00C24506">
      <w:pPr>
        <w:spacing w:line="240" w:lineRule="auto"/>
      </w:pPr>
      <w:r>
        <w:separator/>
      </w:r>
    </w:p>
  </w:endnote>
  <w:endnote w:type="continuationSeparator" w:id="0">
    <w:p w14:paraId="56DAF736" w14:textId="77777777" w:rsidR="00822324" w:rsidRDefault="00822324" w:rsidP="00C24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004682"/>
      <w:docPartObj>
        <w:docPartGallery w:val="Page Numbers (Bottom of Page)"/>
        <w:docPartUnique/>
      </w:docPartObj>
    </w:sdtPr>
    <w:sdtContent>
      <w:sdt>
        <w:sdtPr>
          <w:id w:val="-1769616900"/>
          <w:docPartObj>
            <w:docPartGallery w:val="Page Numbers (Top of Page)"/>
            <w:docPartUnique/>
          </w:docPartObj>
        </w:sdtPr>
        <w:sdtContent>
          <w:p w14:paraId="4BCEE699" w14:textId="77777777" w:rsidR="00413F89" w:rsidRDefault="00413F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47E6">
              <w:rPr>
                <w:b/>
                <w:bCs/>
                <w:noProof/>
              </w:rPr>
              <w:t>68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47E6">
              <w:rPr>
                <w:b/>
                <w:bCs/>
                <w:noProof/>
              </w:rPr>
              <w:t>70</w:t>
            </w:r>
            <w:r>
              <w:rPr>
                <w:b/>
                <w:bCs/>
                <w:sz w:val="24"/>
                <w:szCs w:val="24"/>
              </w:rPr>
              <w:fldChar w:fldCharType="end"/>
            </w:r>
          </w:p>
        </w:sdtContent>
      </w:sdt>
    </w:sdtContent>
  </w:sdt>
  <w:p w14:paraId="5B71671A" w14:textId="77777777" w:rsidR="00413F89" w:rsidRDefault="00413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060CF" w14:textId="77777777" w:rsidR="00822324" w:rsidRDefault="00822324" w:rsidP="00C24506">
      <w:pPr>
        <w:spacing w:line="240" w:lineRule="auto"/>
      </w:pPr>
      <w:r>
        <w:separator/>
      </w:r>
    </w:p>
  </w:footnote>
  <w:footnote w:type="continuationSeparator" w:id="0">
    <w:p w14:paraId="502A7735" w14:textId="77777777" w:rsidR="00822324" w:rsidRDefault="00822324" w:rsidP="00C245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22D3"/>
    <w:multiLevelType w:val="multilevel"/>
    <w:tmpl w:val="7F82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35EFD"/>
    <w:multiLevelType w:val="hybridMultilevel"/>
    <w:tmpl w:val="0E5076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50B207D"/>
    <w:multiLevelType w:val="multilevel"/>
    <w:tmpl w:val="4716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5262D"/>
    <w:multiLevelType w:val="multilevel"/>
    <w:tmpl w:val="9E8C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04DD7"/>
    <w:multiLevelType w:val="multilevel"/>
    <w:tmpl w:val="FE7A18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1A1584"/>
    <w:multiLevelType w:val="multilevel"/>
    <w:tmpl w:val="47AA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817EA4"/>
    <w:multiLevelType w:val="multilevel"/>
    <w:tmpl w:val="6FF2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186932"/>
    <w:multiLevelType w:val="hybridMultilevel"/>
    <w:tmpl w:val="55A6570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0B7A6C11"/>
    <w:multiLevelType w:val="multilevel"/>
    <w:tmpl w:val="2C6A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3F411C"/>
    <w:multiLevelType w:val="multilevel"/>
    <w:tmpl w:val="3CDC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A02317"/>
    <w:multiLevelType w:val="hybridMultilevel"/>
    <w:tmpl w:val="C9741D3A"/>
    <w:lvl w:ilvl="0" w:tplc="3409000B">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157C612A"/>
    <w:multiLevelType w:val="hybridMultilevel"/>
    <w:tmpl w:val="E19A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3D0E02"/>
    <w:multiLevelType w:val="multilevel"/>
    <w:tmpl w:val="2C88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785578"/>
    <w:multiLevelType w:val="multilevel"/>
    <w:tmpl w:val="526C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8E569A"/>
    <w:multiLevelType w:val="multilevel"/>
    <w:tmpl w:val="0FF6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6F16A3"/>
    <w:multiLevelType w:val="hybridMultilevel"/>
    <w:tmpl w:val="007A854E"/>
    <w:lvl w:ilvl="0" w:tplc="B0C2970A">
      <w:start w:val="1"/>
      <w:numFmt w:val="decimal"/>
      <w:lvlText w:val="%1."/>
      <w:lvlJc w:val="left"/>
      <w:pPr>
        <w:ind w:left="570" w:hanging="360"/>
      </w:pPr>
      <w:rPr>
        <w:rFonts w:hint="default"/>
      </w:rPr>
    </w:lvl>
    <w:lvl w:ilvl="1" w:tplc="34090019" w:tentative="1">
      <w:start w:val="1"/>
      <w:numFmt w:val="lowerLetter"/>
      <w:lvlText w:val="%2."/>
      <w:lvlJc w:val="left"/>
      <w:pPr>
        <w:ind w:left="1290" w:hanging="360"/>
      </w:pPr>
    </w:lvl>
    <w:lvl w:ilvl="2" w:tplc="3409001B" w:tentative="1">
      <w:start w:val="1"/>
      <w:numFmt w:val="lowerRoman"/>
      <w:lvlText w:val="%3."/>
      <w:lvlJc w:val="right"/>
      <w:pPr>
        <w:ind w:left="2010" w:hanging="180"/>
      </w:pPr>
    </w:lvl>
    <w:lvl w:ilvl="3" w:tplc="3409000F" w:tentative="1">
      <w:start w:val="1"/>
      <w:numFmt w:val="decimal"/>
      <w:lvlText w:val="%4."/>
      <w:lvlJc w:val="left"/>
      <w:pPr>
        <w:ind w:left="2730" w:hanging="360"/>
      </w:pPr>
    </w:lvl>
    <w:lvl w:ilvl="4" w:tplc="34090019" w:tentative="1">
      <w:start w:val="1"/>
      <w:numFmt w:val="lowerLetter"/>
      <w:lvlText w:val="%5."/>
      <w:lvlJc w:val="left"/>
      <w:pPr>
        <w:ind w:left="3450" w:hanging="360"/>
      </w:pPr>
    </w:lvl>
    <w:lvl w:ilvl="5" w:tplc="3409001B" w:tentative="1">
      <w:start w:val="1"/>
      <w:numFmt w:val="lowerRoman"/>
      <w:lvlText w:val="%6."/>
      <w:lvlJc w:val="right"/>
      <w:pPr>
        <w:ind w:left="4170" w:hanging="180"/>
      </w:pPr>
    </w:lvl>
    <w:lvl w:ilvl="6" w:tplc="3409000F" w:tentative="1">
      <w:start w:val="1"/>
      <w:numFmt w:val="decimal"/>
      <w:lvlText w:val="%7."/>
      <w:lvlJc w:val="left"/>
      <w:pPr>
        <w:ind w:left="4890" w:hanging="360"/>
      </w:pPr>
    </w:lvl>
    <w:lvl w:ilvl="7" w:tplc="34090019" w:tentative="1">
      <w:start w:val="1"/>
      <w:numFmt w:val="lowerLetter"/>
      <w:lvlText w:val="%8."/>
      <w:lvlJc w:val="left"/>
      <w:pPr>
        <w:ind w:left="5610" w:hanging="360"/>
      </w:pPr>
    </w:lvl>
    <w:lvl w:ilvl="8" w:tplc="3409001B" w:tentative="1">
      <w:start w:val="1"/>
      <w:numFmt w:val="lowerRoman"/>
      <w:lvlText w:val="%9."/>
      <w:lvlJc w:val="right"/>
      <w:pPr>
        <w:ind w:left="6330" w:hanging="180"/>
      </w:pPr>
    </w:lvl>
  </w:abstractNum>
  <w:abstractNum w:abstractNumId="16">
    <w:nsid w:val="1EE333DB"/>
    <w:multiLevelType w:val="multilevel"/>
    <w:tmpl w:val="0D2E2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0F402B"/>
    <w:multiLevelType w:val="multilevel"/>
    <w:tmpl w:val="097A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A542B0"/>
    <w:multiLevelType w:val="multilevel"/>
    <w:tmpl w:val="1920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273AD6"/>
    <w:multiLevelType w:val="multilevel"/>
    <w:tmpl w:val="A76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E40A9E"/>
    <w:multiLevelType w:val="hybridMultilevel"/>
    <w:tmpl w:val="15A6CE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256249E9"/>
    <w:multiLevelType w:val="multilevel"/>
    <w:tmpl w:val="6906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D87DDF"/>
    <w:multiLevelType w:val="multilevel"/>
    <w:tmpl w:val="51CE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D850F0"/>
    <w:multiLevelType w:val="hybridMultilevel"/>
    <w:tmpl w:val="9F2243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2A1D443B"/>
    <w:multiLevelType w:val="multilevel"/>
    <w:tmpl w:val="C1545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C27E38"/>
    <w:multiLevelType w:val="multilevel"/>
    <w:tmpl w:val="0B6A3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195AF0"/>
    <w:multiLevelType w:val="multilevel"/>
    <w:tmpl w:val="F84C2A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A94D6F"/>
    <w:multiLevelType w:val="multilevel"/>
    <w:tmpl w:val="E4E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D60AFA"/>
    <w:multiLevelType w:val="multilevel"/>
    <w:tmpl w:val="834C9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7D1276"/>
    <w:multiLevelType w:val="multilevel"/>
    <w:tmpl w:val="E300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D10CD2"/>
    <w:multiLevelType w:val="multilevel"/>
    <w:tmpl w:val="F292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E34A43"/>
    <w:multiLevelType w:val="multilevel"/>
    <w:tmpl w:val="41F2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F43791"/>
    <w:multiLevelType w:val="multilevel"/>
    <w:tmpl w:val="0A1A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0F0448"/>
    <w:multiLevelType w:val="multilevel"/>
    <w:tmpl w:val="F6E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752FE5"/>
    <w:multiLevelType w:val="multilevel"/>
    <w:tmpl w:val="608EBA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9F702C"/>
    <w:multiLevelType w:val="multilevel"/>
    <w:tmpl w:val="3368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EAD3215"/>
    <w:multiLevelType w:val="multilevel"/>
    <w:tmpl w:val="11D2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D36878"/>
    <w:multiLevelType w:val="multilevel"/>
    <w:tmpl w:val="2C36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BE235A"/>
    <w:multiLevelType w:val="multilevel"/>
    <w:tmpl w:val="F418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0942155"/>
    <w:multiLevelType w:val="multilevel"/>
    <w:tmpl w:val="F0F8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1B74675"/>
    <w:multiLevelType w:val="multilevel"/>
    <w:tmpl w:val="4DA6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F53F8E"/>
    <w:multiLevelType w:val="hybridMultilevel"/>
    <w:tmpl w:val="DB04A1A6"/>
    <w:lvl w:ilvl="0" w:tplc="12709F18">
      <w:start w:val="1"/>
      <w:numFmt w:val="upperRoman"/>
      <w:lvlText w:val="%1."/>
      <w:lvlJc w:val="left"/>
      <w:pPr>
        <w:ind w:left="930" w:hanging="720"/>
      </w:pPr>
      <w:rPr>
        <w:rFonts w:hint="default"/>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42">
    <w:nsid w:val="47B238EF"/>
    <w:multiLevelType w:val="multilevel"/>
    <w:tmpl w:val="DDB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89D6B8E"/>
    <w:multiLevelType w:val="multilevel"/>
    <w:tmpl w:val="D64E1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CA75AF6"/>
    <w:multiLevelType w:val="hybridMultilevel"/>
    <w:tmpl w:val="A7B2FA88"/>
    <w:lvl w:ilvl="0" w:tplc="3F145266">
      <w:start w:val="4"/>
      <w:numFmt w:val="bullet"/>
      <w:lvlText w:val=""/>
      <w:lvlJc w:val="left"/>
      <w:pPr>
        <w:ind w:left="720" w:hanging="360"/>
      </w:pPr>
      <w:rPr>
        <w:rFonts w:ascii="Symbol" w:eastAsia="Arial" w:hAnsi="Symbol" w:cs="Arial" w:hint="default"/>
        <w:color w:val="000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nsid w:val="4D2A00E8"/>
    <w:multiLevelType w:val="multilevel"/>
    <w:tmpl w:val="CDEE9B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E83429D"/>
    <w:multiLevelType w:val="multilevel"/>
    <w:tmpl w:val="629A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86387B"/>
    <w:multiLevelType w:val="multilevel"/>
    <w:tmpl w:val="F0E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8B4CE3"/>
    <w:multiLevelType w:val="multilevel"/>
    <w:tmpl w:val="ECDC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02978F0"/>
    <w:multiLevelType w:val="multilevel"/>
    <w:tmpl w:val="A0D0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4864EFD"/>
    <w:multiLevelType w:val="multilevel"/>
    <w:tmpl w:val="1EC82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5264BA8"/>
    <w:multiLevelType w:val="multilevel"/>
    <w:tmpl w:val="87EE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0C4DEE"/>
    <w:multiLevelType w:val="hybridMultilevel"/>
    <w:tmpl w:val="C504C990"/>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3">
    <w:nsid w:val="566704AE"/>
    <w:multiLevelType w:val="multilevel"/>
    <w:tmpl w:val="615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DE554D"/>
    <w:multiLevelType w:val="multilevel"/>
    <w:tmpl w:val="5B36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BB3D5C"/>
    <w:multiLevelType w:val="multilevel"/>
    <w:tmpl w:val="87AE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223697"/>
    <w:multiLevelType w:val="multilevel"/>
    <w:tmpl w:val="E4B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D3742F8"/>
    <w:multiLevelType w:val="hybridMultilevel"/>
    <w:tmpl w:val="E6C83342"/>
    <w:lvl w:ilvl="0" w:tplc="DB5CDD90">
      <w:start w:val="2"/>
      <w:numFmt w:val="upperLetter"/>
      <w:lvlText w:val="%1."/>
      <w:lvlJc w:val="left"/>
      <w:pPr>
        <w:tabs>
          <w:tab w:val="num" w:pos="720"/>
        </w:tabs>
        <w:ind w:left="720" w:hanging="360"/>
      </w:pPr>
    </w:lvl>
    <w:lvl w:ilvl="1" w:tplc="7F8E0CF0" w:tentative="1">
      <w:start w:val="1"/>
      <w:numFmt w:val="decimal"/>
      <w:lvlText w:val="%2."/>
      <w:lvlJc w:val="left"/>
      <w:pPr>
        <w:tabs>
          <w:tab w:val="num" w:pos="1440"/>
        </w:tabs>
        <w:ind w:left="1440" w:hanging="360"/>
      </w:pPr>
    </w:lvl>
    <w:lvl w:ilvl="2" w:tplc="D23A8418" w:tentative="1">
      <w:start w:val="1"/>
      <w:numFmt w:val="decimal"/>
      <w:lvlText w:val="%3."/>
      <w:lvlJc w:val="left"/>
      <w:pPr>
        <w:tabs>
          <w:tab w:val="num" w:pos="2160"/>
        </w:tabs>
        <w:ind w:left="2160" w:hanging="360"/>
      </w:pPr>
    </w:lvl>
    <w:lvl w:ilvl="3" w:tplc="0E04089C" w:tentative="1">
      <w:start w:val="1"/>
      <w:numFmt w:val="decimal"/>
      <w:lvlText w:val="%4."/>
      <w:lvlJc w:val="left"/>
      <w:pPr>
        <w:tabs>
          <w:tab w:val="num" w:pos="2880"/>
        </w:tabs>
        <w:ind w:left="2880" w:hanging="360"/>
      </w:pPr>
    </w:lvl>
    <w:lvl w:ilvl="4" w:tplc="CB0C297C" w:tentative="1">
      <w:start w:val="1"/>
      <w:numFmt w:val="decimal"/>
      <w:lvlText w:val="%5."/>
      <w:lvlJc w:val="left"/>
      <w:pPr>
        <w:tabs>
          <w:tab w:val="num" w:pos="3600"/>
        </w:tabs>
        <w:ind w:left="3600" w:hanging="360"/>
      </w:pPr>
    </w:lvl>
    <w:lvl w:ilvl="5" w:tplc="FD4835FA" w:tentative="1">
      <w:start w:val="1"/>
      <w:numFmt w:val="decimal"/>
      <w:lvlText w:val="%6."/>
      <w:lvlJc w:val="left"/>
      <w:pPr>
        <w:tabs>
          <w:tab w:val="num" w:pos="4320"/>
        </w:tabs>
        <w:ind w:left="4320" w:hanging="360"/>
      </w:pPr>
    </w:lvl>
    <w:lvl w:ilvl="6" w:tplc="15108674" w:tentative="1">
      <w:start w:val="1"/>
      <w:numFmt w:val="decimal"/>
      <w:lvlText w:val="%7."/>
      <w:lvlJc w:val="left"/>
      <w:pPr>
        <w:tabs>
          <w:tab w:val="num" w:pos="5040"/>
        </w:tabs>
        <w:ind w:left="5040" w:hanging="360"/>
      </w:pPr>
    </w:lvl>
    <w:lvl w:ilvl="7" w:tplc="7DA0F520" w:tentative="1">
      <w:start w:val="1"/>
      <w:numFmt w:val="decimal"/>
      <w:lvlText w:val="%8."/>
      <w:lvlJc w:val="left"/>
      <w:pPr>
        <w:tabs>
          <w:tab w:val="num" w:pos="5760"/>
        </w:tabs>
        <w:ind w:left="5760" w:hanging="360"/>
      </w:pPr>
    </w:lvl>
    <w:lvl w:ilvl="8" w:tplc="86446CB6" w:tentative="1">
      <w:start w:val="1"/>
      <w:numFmt w:val="decimal"/>
      <w:lvlText w:val="%9."/>
      <w:lvlJc w:val="left"/>
      <w:pPr>
        <w:tabs>
          <w:tab w:val="num" w:pos="6480"/>
        </w:tabs>
        <w:ind w:left="6480" w:hanging="360"/>
      </w:pPr>
    </w:lvl>
  </w:abstractNum>
  <w:abstractNum w:abstractNumId="58">
    <w:nsid w:val="5DB537A3"/>
    <w:multiLevelType w:val="multilevel"/>
    <w:tmpl w:val="3F22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E7878BD"/>
    <w:multiLevelType w:val="multilevel"/>
    <w:tmpl w:val="6532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CB7ED2"/>
    <w:multiLevelType w:val="multilevel"/>
    <w:tmpl w:val="25B6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4EE4615"/>
    <w:multiLevelType w:val="multilevel"/>
    <w:tmpl w:val="A96E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14279A"/>
    <w:multiLevelType w:val="hybridMultilevel"/>
    <w:tmpl w:val="ECA64794"/>
    <w:lvl w:ilvl="0" w:tplc="7684043A">
      <w:start w:val="4"/>
      <w:numFmt w:val="upperLetter"/>
      <w:lvlText w:val="%1."/>
      <w:lvlJc w:val="left"/>
      <w:pPr>
        <w:tabs>
          <w:tab w:val="num" w:pos="720"/>
        </w:tabs>
        <w:ind w:left="720" w:hanging="360"/>
      </w:pPr>
    </w:lvl>
    <w:lvl w:ilvl="1" w:tplc="63504F82" w:tentative="1">
      <w:start w:val="1"/>
      <w:numFmt w:val="decimal"/>
      <w:lvlText w:val="%2."/>
      <w:lvlJc w:val="left"/>
      <w:pPr>
        <w:tabs>
          <w:tab w:val="num" w:pos="1440"/>
        </w:tabs>
        <w:ind w:left="1440" w:hanging="360"/>
      </w:pPr>
    </w:lvl>
    <w:lvl w:ilvl="2" w:tplc="8D6ABCB0" w:tentative="1">
      <w:start w:val="1"/>
      <w:numFmt w:val="decimal"/>
      <w:lvlText w:val="%3."/>
      <w:lvlJc w:val="left"/>
      <w:pPr>
        <w:tabs>
          <w:tab w:val="num" w:pos="2160"/>
        </w:tabs>
        <w:ind w:left="2160" w:hanging="360"/>
      </w:pPr>
    </w:lvl>
    <w:lvl w:ilvl="3" w:tplc="20EC56DA" w:tentative="1">
      <w:start w:val="1"/>
      <w:numFmt w:val="decimal"/>
      <w:lvlText w:val="%4."/>
      <w:lvlJc w:val="left"/>
      <w:pPr>
        <w:tabs>
          <w:tab w:val="num" w:pos="2880"/>
        </w:tabs>
        <w:ind w:left="2880" w:hanging="360"/>
      </w:pPr>
    </w:lvl>
    <w:lvl w:ilvl="4" w:tplc="5238B57A" w:tentative="1">
      <w:start w:val="1"/>
      <w:numFmt w:val="decimal"/>
      <w:lvlText w:val="%5."/>
      <w:lvlJc w:val="left"/>
      <w:pPr>
        <w:tabs>
          <w:tab w:val="num" w:pos="3600"/>
        </w:tabs>
        <w:ind w:left="3600" w:hanging="360"/>
      </w:pPr>
    </w:lvl>
    <w:lvl w:ilvl="5" w:tplc="82BC0210" w:tentative="1">
      <w:start w:val="1"/>
      <w:numFmt w:val="decimal"/>
      <w:lvlText w:val="%6."/>
      <w:lvlJc w:val="left"/>
      <w:pPr>
        <w:tabs>
          <w:tab w:val="num" w:pos="4320"/>
        </w:tabs>
        <w:ind w:left="4320" w:hanging="360"/>
      </w:pPr>
    </w:lvl>
    <w:lvl w:ilvl="6" w:tplc="57D88B0A" w:tentative="1">
      <w:start w:val="1"/>
      <w:numFmt w:val="decimal"/>
      <w:lvlText w:val="%7."/>
      <w:lvlJc w:val="left"/>
      <w:pPr>
        <w:tabs>
          <w:tab w:val="num" w:pos="5040"/>
        </w:tabs>
        <w:ind w:left="5040" w:hanging="360"/>
      </w:pPr>
    </w:lvl>
    <w:lvl w:ilvl="7" w:tplc="76A88BAC" w:tentative="1">
      <w:start w:val="1"/>
      <w:numFmt w:val="decimal"/>
      <w:lvlText w:val="%8."/>
      <w:lvlJc w:val="left"/>
      <w:pPr>
        <w:tabs>
          <w:tab w:val="num" w:pos="5760"/>
        </w:tabs>
        <w:ind w:left="5760" w:hanging="360"/>
      </w:pPr>
    </w:lvl>
    <w:lvl w:ilvl="8" w:tplc="AF5CD3DE" w:tentative="1">
      <w:start w:val="1"/>
      <w:numFmt w:val="decimal"/>
      <w:lvlText w:val="%9."/>
      <w:lvlJc w:val="left"/>
      <w:pPr>
        <w:tabs>
          <w:tab w:val="num" w:pos="6480"/>
        </w:tabs>
        <w:ind w:left="6480" w:hanging="360"/>
      </w:pPr>
    </w:lvl>
  </w:abstractNum>
  <w:abstractNum w:abstractNumId="63">
    <w:nsid w:val="69C57966"/>
    <w:multiLevelType w:val="hybridMultilevel"/>
    <w:tmpl w:val="C3D8CD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4">
    <w:nsid w:val="6BBB210A"/>
    <w:multiLevelType w:val="hybridMultilevel"/>
    <w:tmpl w:val="478AD186"/>
    <w:lvl w:ilvl="0" w:tplc="79E81DF0">
      <w:start w:val="3"/>
      <w:numFmt w:val="upperLetter"/>
      <w:lvlText w:val="%1."/>
      <w:lvlJc w:val="left"/>
      <w:pPr>
        <w:tabs>
          <w:tab w:val="num" w:pos="720"/>
        </w:tabs>
        <w:ind w:left="720" w:hanging="360"/>
      </w:pPr>
    </w:lvl>
    <w:lvl w:ilvl="1" w:tplc="EF24F4A4" w:tentative="1">
      <w:start w:val="1"/>
      <w:numFmt w:val="decimal"/>
      <w:lvlText w:val="%2."/>
      <w:lvlJc w:val="left"/>
      <w:pPr>
        <w:tabs>
          <w:tab w:val="num" w:pos="1440"/>
        </w:tabs>
        <w:ind w:left="1440" w:hanging="360"/>
      </w:pPr>
    </w:lvl>
    <w:lvl w:ilvl="2" w:tplc="CF1C1CFA" w:tentative="1">
      <w:start w:val="1"/>
      <w:numFmt w:val="decimal"/>
      <w:lvlText w:val="%3."/>
      <w:lvlJc w:val="left"/>
      <w:pPr>
        <w:tabs>
          <w:tab w:val="num" w:pos="2160"/>
        </w:tabs>
        <w:ind w:left="2160" w:hanging="360"/>
      </w:pPr>
    </w:lvl>
    <w:lvl w:ilvl="3" w:tplc="F0881C78" w:tentative="1">
      <w:start w:val="1"/>
      <w:numFmt w:val="decimal"/>
      <w:lvlText w:val="%4."/>
      <w:lvlJc w:val="left"/>
      <w:pPr>
        <w:tabs>
          <w:tab w:val="num" w:pos="2880"/>
        </w:tabs>
        <w:ind w:left="2880" w:hanging="360"/>
      </w:pPr>
    </w:lvl>
    <w:lvl w:ilvl="4" w:tplc="79FC1722" w:tentative="1">
      <w:start w:val="1"/>
      <w:numFmt w:val="decimal"/>
      <w:lvlText w:val="%5."/>
      <w:lvlJc w:val="left"/>
      <w:pPr>
        <w:tabs>
          <w:tab w:val="num" w:pos="3600"/>
        </w:tabs>
        <w:ind w:left="3600" w:hanging="360"/>
      </w:pPr>
    </w:lvl>
    <w:lvl w:ilvl="5" w:tplc="B2E46484" w:tentative="1">
      <w:start w:val="1"/>
      <w:numFmt w:val="decimal"/>
      <w:lvlText w:val="%6."/>
      <w:lvlJc w:val="left"/>
      <w:pPr>
        <w:tabs>
          <w:tab w:val="num" w:pos="4320"/>
        </w:tabs>
        <w:ind w:left="4320" w:hanging="360"/>
      </w:pPr>
    </w:lvl>
    <w:lvl w:ilvl="6" w:tplc="7FB6FCFE" w:tentative="1">
      <w:start w:val="1"/>
      <w:numFmt w:val="decimal"/>
      <w:lvlText w:val="%7."/>
      <w:lvlJc w:val="left"/>
      <w:pPr>
        <w:tabs>
          <w:tab w:val="num" w:pos="5040"/>
        </w:tabs>
        <w:ind w:left="5040" w:hanging="360"/>
      </w:pPr>
    </w:lvl>
    <w:lvl w:ilvl="7" w:tplc="48429F38" w:tentative="1">
      <w:start w:val="1"/>
      <w:numFmt w:val="decimal"/>
      <w:lvlText w:val="%8."/>
      <w:lvlJc w:val="left"/>
      <w:pPr>
        <w:tabs>
          <w:tab w:val="num" w:pos="5760"/>
        </w:tabs>
        <w:ind w:left="5760" w:hanging="360"/>
      </w:pPr>
    </w:lvl>
    <w:lvl w:ilvl="8" w:tplc="CE8EDA1A" w:tentative="1">
      <w:start w:val="1"/>
      <w:numFmt w:val="decimal"/>
      <w:lvlText w:val="%9."/>
      <w:lvlJc w:val="left"/>
      <w:pPr>
        <w:tabs>
          <w:tab w:val="num" w:pos="6480"/>
        </w:tabs>
        <w:ind w:left="6480" w:hanging="360"/>
      </w:pPr>
    </w:lvl>
  </w:abstractNum>
  <w:abstractNum w:abstractNumId="65">
    <w:nsid w:val="714C4F2D"/>
    <w:multiLevelType w:val="multilevel"/>
    <w:tmpl w:val="8452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1A47433"/>
    <w:multiLevelType w:val="multilevel"/>
    <w:tmpl w:val="0F00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2B9761D"/>
    <w:multiLevelType w:val="hybridMultilevel"/>
    <w:tmpl w:val="CF023004"/>
    <w:lvl w:ilvl="0" w:tplc="A8BEF5CA">
      <w:start w:val="3"/>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8">
    <w:nsid w:val="74861C96"/>
    <w:multiLevelType w:val="multilevel"/>
    <w:tmpl w:val="DD08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5825D00"/>
    <w:multiLevelType w:val="multilevel"/>
    <w:tmpl w:val="2FCE5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6091C09"/>
    <w:multiLevelType w:val="multilevel"/>
    <w:tmpl w:val="96B8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9935ED0"/>
    <w:multiLevelType w:val="hybridMultilevel"/>
    <w:tmpl w:val="80B8B97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2">
    <w:nsid w:val="7B8571FF"/>
    <w:multiLevelType w:val="multilevel"/>
    <w:tmpl w:val="48041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5"/>
  </w:num>
  <w:num w:numId="3">
    <w:abstractNumId w:val="63"/>
  </w:num>
  <w:num w:numId="4">
    <w:abstractNumId w:val="44"/>
  </w:num>
  <w:num w:numId="5">
    <w:abstractNumId w:val="30"/>
  </w:num>
  <w:num w:numId="6">
    <w:abstractNumId w:val="40"/>
  </w:num>
  <w:num w:numId="7">
    <w:abstractNumId w:val="5"/>
  </w:num>
  <w:num w:numId="8">
    <w:abstractNumId w:val="48"/>
  </w:num>
  <w:num w:numId="9">
    <w:abstractNumId w:val="59"/>
  </w:num>
  <w:num w:numId="10">
    <w:abstractNumId w:val="25"/>
    <w:lvlOverride w:ilvl="0">
      <w:lvl w:ilvl="0">
        <w:numFmt w:val="decimal"/>
        <w:lvlText w:val="%1."/>
        <w:lvlJc w:val="left"/>
      </w:lvl>
    </w:lvlOverride>
  </w:num>
  <w:num w:numId="11">
    <w:abstractNumId w:val="46"/>
  </w:num>
  <w:num w:numId="12">
    <w:abstractNumId w:val="50"/>
    <w:lvlOverride w:ilvl="0">
      <w:lvl w:ilvl="0">
        <w:numFmt w:val="decimal"/>
        <w:lvlText w:val="%1."/>
        <w:lvlJc w:val="left"/>
      </w:lvl>
    </w:lvlOverride>
  </w:num>
  <w:num w:numId="13">
    <w:abstractNumId w:val="72"/>
    <w:lvlOverride w:ilvl="0">
      <w:lvl w:ilvl="0">
        <w:numFmt w:val="decimal"/>
        <w:lvlText w:val="%1."/>
        <w:lvlJc w:val="left"/>
      </w:lvl>
    </w:lvlOverride>
  </w:num>
  <w:num w:numId="14">
    <w:abstractNumId w:val="16"/>
    <w:lvlOverride w:ilvl="0">
      <w:lvl w:ilvl="0">
        <w:numFmt w:val="upperLetter"/>
        <w:lvlText w:val="%1."/>
        <w:lvlJc w:val="left"/>
      </w:lvl>
    </w:lvlOverride>
  </w:num>
  <w:num w:numId="15">
    <w:abstractNumId w:val="7"/>
  </w:num>
  <w:num w:numId="16">
    <w:abstractNumId w:val="52"/>
  </w:num>
  <w:num w:numId="17">
    <w:abstractNumId w:val="10"/>
  </w:num>
  <w:num w:numId="18">
    <w:abstractNumId w:val="69"/>
  </w:num>
  <w:num w:numId="19">
    <w:abstractNumId w:val="43"/>
  </w:num>
  <w:num w:numId="20">
    <w:abstractNumId w:val="70"/>
  </w:num>
  <w:num w:numId="21">
    <w:abstractNumId w:val="45"/>
    <w:lvlOverride w:ilvl="0">
      <w:lvl w:ilvl="0">
        <w:numFmt w:val="decimal"/>
        <w:lvlText w:val="%1."/>
        <w:lvlJc w:val="left"/>
      </w:lvl>
    </w:lvlOverride>
  </w:num>
  <w:num w:numId="22">
    <w:abstractNumId w:val="45"/>
    <w:lvlOverride w:ilvl="0">
      <w:lvl w:ilvl="0">
        <w:numFmt w:val="decimal"/>
        <w:lvlText w:val="%1."/>
        <w:lvlJc w:val="left"/>
      </w:lvl>
    </w:lvlOverride>
    <w:lvlOverride w:ilvl="1">
      <w:lvl w:ilvl="1">
        <w:numFmt w:val="lowerLetter"/>
        <w:lvlText w:val="%2."/>
        <w:lvlJc w:val="left"/>
      </w:lvl>
    </w:lvlOverride>
  </w:num>
  <w:num w:numId="23">
    <w:abstractNumId w:val="34"/>
    <w:lvlOverride w:ilvl="0">
      <w:lvl w:ilvl="0">
        <w:numFmt w:val="decimal"/>
        <w:lvlText w:val="%1."/>
        <w:lvlJc w:val="left"/>
      </w:lvl>
    </w:lvlOverride>
  </w:num>
  <w:num w:numId="24">
    <w:abstractNumId w:val="28"/>
    <w:lvlOverride w:ilvl="0">
      <w:lvl w:ilvl="0">
        <w:numFmt w:val="decimal"/>
        <w:lvlText w:val="%1."/>
        <w:lvlJc w:val="left"/>
      </w:lvl>
    </w:lvlOverride>
  </w:num>
  <w:num w:numId="25">
    <w:abstractNumId w:val="4"/>
    <w:lvlOverride w:ilvl="0">
      <w:lvl w:ilvl="0">
        <w:numFmt w:val="decimal"/>
        <w:lvlText w:val="%1."/>
        <w:lvlJc w:val="left"/>
      </w:lvl>
    </w:lvlOverride>
  </w:num>
  <w:num w:numId="26">
    <w:abstractNumId w:val="4"/>
    <w:lvlOverride w:ilvl="0">
      <w:lvl w:ilvl="0">
        <w:numFmt w:val="decimal"/>
        <w:lvlText w:val="%1."/>
        <w:lvlJc w:val="left"/>
      </w:lvl>
    </w:lvlOverride>
    <w:lvlOverride w:ilvl="1">
      <w:lvl w:ilvl="1">
        <w:numFmt w:val="lowerLetter"/>
        <w:lvlText w:val="%2."/>
        <w:lvlJc w:val="left"/>
      </w:lvl>
    </w:lvlOverride>
  </w:num>
  <w:num w:numId="27">
    <w:abstractNumId w:val="26"/>
    <w:lvlOverride w:ilvl="0">
      <w:lvl w:ilvl="0">
        <w:numFmt w:val="decimal"/>
        <w:lvlText w:val="%1."/>
        <w:lvlJc w:val="left"/>
      </w:lvl>
    </w:lvlOverride>
  </w:num>
  <w:num w:numId="28">
    <w:abstractNumId w:val="20"/>
  </w:num>
  <w:num w:numId="29">
    <w:abstractNumId w:val="11"/>
  </w:num>
  <w:num w:numId="30">
    <w:abstractNumId w:val="1"/>
  </w:num>
  <w:num w:numId="31">
    <w:abstractNumId w:val="23"/>
  </w:num>
  <w:num w:numId="32">
    <w:abstractNumId w:val="9"/>
    <w:lvlOverride w:ilvl="0">
      <w:lvl w:ilvl="0">
        <w:numFmt w:val="upperLetter"/>
        <w:lvlText w:val="%1."/>
        <w:lvlJc w:val="left"/>
      </w:lvl>
    </w:lvlOverride>
  </w:num>
  <w:num w:numId="33">
    <w:abstractNumId w:val="66"/>
  </w:num>
  <w:num w:numId="34">
    <w:abstractNumId w:val="58"/>
  </w:num>
  <w:num w:numId="35">
    <w:abstractNumId w:val="2"/>
  </w:num>
  <w:num w:numId="36">
    <w:abstractNumId w:val="39"/>
  </w:num>
  <w:num w:numId="37">
    <w:abstractNumId w:val="32"/>
  </w:num>
  <w:num w:numId="38">
    <w:abstractNumId w:val="14"/>
  </w:num>
  <w:num w:numId="39">
    <w:abstractNumId w:val="13"/>
  </w:num>
  <w:num w:numId="40">
    <w:abstractNumId w:val="42"/>
  </w:num>
  <w:num w:numId="41">
    <w:abstractNumId w:val="57"/>
  </w:num>
  <w:num w:numId="42">
    <w:abstractNumId w:val="65"/>
  </w:num>
  <w:num w:numId="43">
    <w:abstractNumId w:val="18"/>
  </w:num>
  <w:num w:numId="44">
    <w:abstractNumId w:val="53"/>
  </w:num>
  <w:num w:numId="45">
    <w:abstractNumId w:val="22"/>
  </w:num>
  <w:num w:numId="46">
    <w:abstractNumId w:val="27"/>
  </w:num>
  <w:num w:numId="47">
    <w:abstractNumId w:val="21"/>
  </w:num>
  <w:num w:numId="48">
    <w:abstractNumId w:val="19"/>
  </w:num>
  <w:num w:numId="49">
    <w:abstractNumId w:val="49"/>
  </w:num>
  <w:num w:numId="50">
    <w:abstractNumId w:val="0"/>
  </w:num>
  <w:num w:numId="51">
    <w:abstractNumId w:val="51"/>
  </w:num>
  <w:num w:numId="52">
    <w:abstractNumId w:val="29"/>
  </w:num>
  <w:num w:numId="53">
    <w:abstractNumId w:val="60"/>
  </w:num>
  <w:num w:numId="54">
    <w:abstractNumId w:val="8"/>
  </w:num>
  <w:num w:numId="55">
    <w:abstractNumId w:val="12"/>
  </w:num>
  <w:num w:numId="56">
    <w:abstractNumId w:val="31"/>
  </w:num>
  <w:num w:numId="57">
    <w:abstractNumId w:val="3"/>
  </w:num>
  <w:num w:numId="58">
    <w:abstractNumId w:val="55"/>
  </w:num>
  <w:num w:numId="59">
    <w:abstractNumId w:val="37"/>
  </w:num>
  <w:num w:numId="60">
    <w:abstractNumId w:val="64"/>
  </w:num>
  <w:num w:numId="61">
    <w:abstractNumId w:val="54"/>
  </w:num>
  <w:num w:numId="62">
    <w:abstractNumId w:val="6"/>
  </w:num>
  <w:num w:numId="63">
    <w:abstractNumId w:val="56"/>
  </w:num>
  <w:num w:numId="64">
    <w:abstractNumId w:val="33"/>
  </w:num>
  <w:num w:numId="65">
    <w:abstractNumId w:val="36"/>
  </w:num>
  <w:num w:numId="66">
    <w:abstractNumId w:val="17"/>
  </w:num>
  <w:num w:numId="67">
    <w:abstractNumId w:val="62"/>
  </w:num>
  <w:num w:numId="68">
    <w:abstractNumId w:val="38"/>
  </w:num>
  <w:num w:numId="69">
    <w:abstractNumId w:val="35"/>
  </w:num>
  <w:num w:numId="70">
    <w:abstractNumId w:val="68"/>
  </w:num>
  <w:num w:numId="71">
    <w:abstractNumId w:val="61"/>
  </w:num>
  <w:num w:numId="72">
    <w:abstractNumId w:val="47"/>
  </w:num>
  <w:num w:numId="73">
    <w:abstractNumId w:val="24"/>
    <w:lvlOverride w:ilvl="0">
      <w:lvl w:ilvl="0">
        <w:numFmt w:val="lowerLetter"/>
        <w:lvlText w:val="%1."/>
        <w:lvlJc w:val="left"/>
      </w:lvl>
    </w:lvlOverride>
  </w:num>
  <w:num w:numId="74">
    <w:abstractNumId w:val="71"/>
  </w:num>
  <w:num w:numId="75">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06"/>
    <w:rsid w:val="00023229"/>
    <w:rsid w:val="00036C85"/>
    <w:rsid w:val="0005725D"/>
    <w:rsid w:val="000722FB"/>
    <w:rsid w:val="0008788E"/>
    <w:rsid w:val="000A0811"/>
    <w:rsid w:val="000A568F"/>
    <w:rsid w:val="000B6857"/>
    <w:rsid w:val="000E52A8"/>
    <w:rsid w:val="000F000A"/>
    <w:rsid w:val="000F017B"/>
    <w:rsid w:val="00112A2C"/>
    <w:rsid w:val="00131A71"/>
    <w:rsid w:val="001431CE"/>
    <w:rsid w:val="00181C76"/>
    <w:rsid w:val="001A1069"/>
    <w:rsid w:val="0020589C"/>
    <w:rsid w:val="00216377"/>
    <w:rsid w:val="00221F07"/>
    <w:rsid w:val="00242BAE"/>
    <w:rsid w:val="00253CF4"/>
    <w:rsid w:val="002610C6"/>
    <w:rsid w:val="0027076E"/>
    <w:rsid w:val="0027575F"/>
    <w:rsid w:val="00285FDE"/>
    <w:rsid w:val="002B02D5"/>
    <w:rsid w:val="002C6C89"/>
    <w:rsid w:val="002E771E"/>
    <w:rsid w:val="002F0F7E"/>
    <w:rsid w:val="00341200"/>
    <w:rsid w:val="00356193"/>
    <w:rsid w:val="00362FD7"/>
    <w:rsid w:val="0036646D"/>
    <w:rsid w:val="00374515"/>
    <w:rsid w:val="003C6E7B"/>
    <w:rsid w:val="003C74D7"/>
    <w:rsid w:val="003F2EFD"/>
    <w:rsid w:val="004115E9"/>
    <w:rsid w:val="00413F89"/>
    <w:rsid w:val="004372DF"/>
    <w:rsid w:val="00453AB3"/>
    <w:rsid w:val="00460F3C"/>
    <w:rsid w:val="00484ED7"/>
    <w:rsid w:val="004926FB"/>
    <w:rsid w:val="004B4CDE"/>
    <w:rsid w:val="004D02BD"/>
    <w:rsid w:val="004D70A2"/>
    <w:rsid w:val="004E50F7"/>
    <w:rsid w:val="005164F2"/>
    <w:rsid w:val="00516AD6"/>
    <w:rsid w:val="00565F04"/>
    <w:rsid w:val="005B7BB5"/>
    <w:rsid w:val="005E3E96"/>
    <w:rsid w:val="006071BB"/>
    <w:rsid w:val="00664B4D"/>
    <w:rsid w:val="00677838"/>
    <w:rsid w:val="0068148D"/>
    <w:rsid w:val="006A0CA5"/>
    <w:rsid w:val="006A53F7"/>
    <w:rsid w:val="006C4F03"/>
    <w:rsid w:val="006E3A8B"/>
    <w:rsid w:val="006E780E"/>
    <w:rsid w:val="006F6D08"/>
    <w:rsid w:val="00702C25"/>
    <w:rsid w:val="007146C4"/>
    <w:rsid w:val="007364D3"/>
    <w:rsid w:val="00762D43"/>
    <w:rsid w:val="007774F0"/>
    <w:rsid w:val="00782A56"/>
    <w:rsid w:val="00791BE4"/>
    <w:rsid w:val="007B290F"/>
    <w:rsid w:val="007E270A"/>
    <w:rsid w:val="007F5254"/>
    <w:rsid w:val="00822324"/>
    <w:rsid w:val="00850376"/>
    <w:rsid w:val="00861ACE"/>
    <w:rsid w:val="00884B21"/>
    <w:rsid w:val="00885559"/>
    <w:rsid w:val="008972DC"/>
    <w:rsid w:val="008B3B71"/>
    <w:rsid w:val="008B7A66"/>
    <w:rsid w:val="008B7E99"/>
    <w:rsid w:val="008C4479"/>
    <w:rsid w:val="008C5456"/>
    <w:rsid w:val="008D1FD0"/>
    <w:rsid w:val="008E225C"/>
    <w:rsid w:val="008F295F"/>
    <w:rsid w:val="008F3E54"/>
    <w:rsid w:val="00900B27"/>
    <w:rsid w:val="00924FC7"/>
    <w:rsid w:val="0096085C"/>
    <w:rsid w:val="00962CE3"/>
    <w:rsid w:val="0098269D"/>
    <w:rsid w:val="00984C6B"/>
    <w:rsid w:val="009B7B05"/>
    <w:rsid w:val="009C6E1E"/>
    <w:rsid w:val="009D1CF7"/>
    <w:rsid w:val="00A04702"/>
    <w:rsid w:val="00A2389D"/>
    <w:rsid w:val="00A31999"/>
    <w:rsid w:val="00A56D9F"/>
    <w:rsid w:val="00A870D8"/>
    <w:rsid w:val="00AA27CC"/>
    <w:rsid w:val="00AC16EA"/>
    <w:rsid w:val="00AE032A"/>
    <w:rsid w:val="00AE63F1"/>
    <w:rsid w:val="00B13A43"/>
    <w:rsid w:val="00B63208"/>
    <w:rsid w:val="00B73D8C"/>
    <w:rsid w:val="00B92AC2"/>
    <w:rsid w:val="00BF47E6"/>
    <w:rsid w:val="00BF51D4"/>
    <w:rsid w:val="00C01B17"/>
    <w:rsid w:val="00C24506"/>
    <w:rsid w:val="00C261FC"/>
    <w:rsid w:val="00C40374"/>
    <w:rsid w:val="00C453BE"/>
    <w:rsid w:val="00C6621B"/>
    <w:rsid w:val="00C707F4"/>
    <w:rsid w:val="00C75764"/>
    <w:rsid w:val="00C94657"/>
    <w:rsid w:val="00CA58B8"/>
    <w:rsid w:val="00CB2B5B"/>
    <w:rsid w:val="00CD3DEE"/>
    <w:rsid w:val="00CE69FD"/>
    <w:rsid w:val="00D448F0"/>
    <w:rsid w:val="00DA1D9C"/>
    <w:rsid w:val="00DA5D8E"/>
    <w:rsid w:val="00DB048D"/>
    <w:rsid w:val="00DB3F49"/>
    <w:rsid w:val="00DD3991"/>
    <w:rsid w:val="00DF371E"/>
    <w:rsid w:val="00E12A0B"/>
    <w:rsid w:val="00E215D2"/>
    <w:rsid w:val="00E66E95"/>
    <w:rsid w:val="00E73955"/>
    <w:rsid w:val="00E81344"/>
    <w:rsid w:val="00E84E1D"/>
    <w:rsid w:val="00EA02E8"/>
    <w:rsid w:val="00EB278D"/>
    <w:rsid w:val="00EC5583"/>
    <w:rsid w:val="00EE147B"/>
    <w:rsid w:val="00EE16D3"/>
    <w:rsid w:val="00F02D71"/>
    <w:rsid w:val="00F11CFB"/>
    <w:rsid w:val="00F32326"/>
    <w:rsid w:val="00F564DF"/>
    <w:rsid w:val="00F759DD"/>
    <w:rsid w:val="00FC5A5F"/>
    <w:rsid w:val="00FE03D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4440"/>
  <w15:chartTrackingRefBased/>
  <w15:docId w15:val="{E256E975-28B1-4156-9E7C-366783B2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4506"/>
    <w:pPr>
      <w:spacing w:after="0" w:line="276" w:lineRule="auto"/>
    </w:pPr>
    <w:rPr>
      <w:rFonts w:ascii="Arial" w:eastAsia="Arial" w:hAnsi="Arial" w:cs="Arial"/>
      <w:lang w:val="en" w:eastAsia="en-SG"/>
    </w:rPr>
  </w:style>
  <w:style w:type="paragraph" w:styleId="Heading1">
    <w:name w:val="heading 1"/>
    <w:basedOn w:val="Normal"/>
    <w:next w:val="Normal"/>
    <w:link w:val="Heading1Char"/>
    <w:rsid w:val="0068148D"/>
    <w:pPr>
      <w:keepNext/>
      <w:keepLines/>
      <w:spacing w:before="400" w:after="120"/>
      <w:outlineLvl w:val="0"/>
    </w:pPr>
    <w:rPr>
      <w:sz w:val="40"/>
      <w:szCs w:val="40"/>
    </w:rPr>
  </w:style>
  <w:style w:type="paragraph" w:styleId="Heading2">
    <w:name w:val="heading 2"/>
    <w:basedOn w:val="Normal"/>
    <w:next w:val="Normal"/>
    <w:link w:val="Heading2Char"/>
    <w:rsid w:val="0068148D"/>
    <w:pPr>
      <w:keepNext/>
      <w:keepLines/>
      <w:spacing w:before="360" w:after="120"/>
      <w:outlineLvl w:val="1"/>
    </w:pPr>
    <w:rPr>
      <w:sz w:val="32"/>
      <w:szCs w:val="32"/>
    </w:rPr>
  </w:style>
  <w:style w:type="paragraph" w:styleId="Heading3">
    <w:name w:val="heading 3"/>
    <w:basedOn w:val="Normal"/>
    <w:next w:val="Normal"/>
    <w:link w:val="Heading3Char"/>
    <w:rsid w:val="0068148D"/>
    <w:pPr>
      <w:keepNext/>
      <w:keepLines/>
      <w:spacing w:before="320" w:after="80"/>
      <w:outlineLvl w:val="2"/>
    </w:pPr>
    <w:rPr>
      <w:color w:val="434343"/>
      <w:sz w:val="28"/>
      <w:szCs w:val="28"/>
    </w:rPr>
  </w:style>
  <w:style w:type="paragraph" w:styleId="Heading4">
    <w:name w:val="heading 4"/>
    <w:basedOn w:val="Normal"/>
    <w:next w:val="Normal"/>
    <w:link w:val="Heading4Char"/>
    <w:rsid w:val="0068148D"/>
    <w:pPr>
      <w:keepNext/>
      <w:keepLines/>
      <w:spacing w:before="280" w:after="80"/>
      <w:outlineLvl w:val="3"/>
    </w:pPr>
    <w:rPr>
      <w:color w:val="666666"/>
      <w:sz w:val="24"/>
      <w:szCs w:val="24"/>
    </w:rPr>
  </w:style>
  <w:style w:type="paragraph" w:styleId="Heading5">
    <w:name w:val="heading 5"/>
    <w:basedOn w:val="Normal"/>
    <w:next w:val="Normal"/>
    <w:link w:val="Heading5Char"/>
    <w:rsid w:val="0068148D"/>
    <w:pPr>
      <w:keepNext/>
      <w:keepLines/>
      <w:spacing w:before="240" w:after="80"/>
      <w:outlineLvl w:val="4"/>
    </w:pPr>
    <w:rPr>
      <w:color w:val="666666"/>
    </w:rPr>
  </w:style>
  <w:style w:type="paragraph" w:styleId="Heading6">
    <w:name w:val="heading 6"/>
    <w:basedOn w:val="Normal"/>
    <w:next w:val="Normal"/>
    <w:link w:val="Heading6Char"/>
    <w:rsid w:val="0068148D"/>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5164F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48D"/>
    <w:rPr>
      <w:rFonts w:ascii="Arial" w:eastAsia="Arial" w:hAnsi="Arial" w:cs="Arial"/>
      <w:sz w:val="40"/>
      <w:szCs w:val="40"/>
      <w:lang w:val="en" w:eastAsia="en-SG"/>
    </w:rPr>
  </w:style>
  <w:style w:type="character" w:customStyle="1" w:styleId="Heading2Char">
    <w:name w:val="Heading 2 Char"/>
    <w:basedOn w:val="DefaultParagraphFont"/>
    <w:link w:val="Heading2"/>
    <w:rsid w:val="0068148D"/>
    <w:rPr>
      <w:rFonts w:ascii="Arial" w:eastAsia="Arial" w:hAnsi="Arial" w:cs="Arial"/>
      <w:sz w:val="32"/>
      <w:szCs w:val="32"/>
      <w:lang w:val="en" w:eastAsia="en-SG"/>
    </w:rPr>
  </w:style>
  <w:style w:type="character" w:customStyle="1" w:styleId="Heading3Char">
    <w:name w:val="Heading 3 Char"/>
    <w:basedOn w:val="DefaultParagraphFont"/>
    <w:link w:val="Heading3"/>
    <w:rsid w:val="0068148D"/>
    <w:rPr>
      <w:rFonts w:ascii="Arial" w:eastAsia="Arial" w:hAnsi="Arial" w:cs="Arial"/>
      <w:color w:val="434343"/>
      <w:sz w:val="28"/>
      <w:szCs w:val="28"/>
      <w:lang w:val="en" w:eastAsia="en-SG"/>
    </w:rPr>
  </w:style>
  <w:style w:type="character" w:customStyle="1" w:styleId="Heading4Char">
    <w:name w:val="Heading 4 Char"/>
    <w:basedOn w:val="DefaultParagraphFont"/>
    <w:link w:val="Heading4"/>
    <w:rsid w:val="0068148D"/>
    <w:rPr>
      <w:rFonts w:ascii="Arial" w:eastAsia="Arial" w:hAnsi="Arial" w:cs="Arial"/>
      <w:color w:val="666666"/>
      <w:sz w:val="24"/>
      <w:szCs w:val="24"/>
      <w:lang w:val="en" w:eastAsia="en-SG"/>
    </w:rPr>
  </w:style>
  <w:style w:type="character" w:customStyle="1" w:styleId="Heading5Char">
    <w:name w:val="Heading 5 Char"/>
    <w:basedOn w:val="DefaultParagraphFont"/>
    <w:link w:val="Heading5"/>
    <w:rsid w:val="0068148D"/>
    <w:rPr>
      <w:rFonts w:ascii="Arial" w:eastAsia="Arial" w:hAnsi="Arial" w:cs="Arial"/>
      <w:color w:val="666666"/>
      <w:lang w:val="en" w:eastAsia="en-SG"/>
    </w:rPr>
  </w:style>
  <w:style w:type="character" w:customStyle="1" w:styleId="Heading6Char">
    <w:name w:val="Heading 6 Char"/>
    <w:basedOn w:val="DefaultParagraphFont"/>
    <w:link w:val="Heading6"/>
    <w:rsid w:val="0068148D"/>
    <w:rPr>
      <w:rFonts w:ascii="Arial" w:eastAsia="Arial" w:hAnsi="Arial" w:cs="Arial"/>
      <w:i/>
      <w:color w:val="666666"/>
      <w:lang w:val="en" w:eastAsia="en-SG"/>
    </w:rPr>
  </w:style>
  <w:style w:type="paragraph" w:styleId="Header">
    <w:name w:val="header"/>
    <w:basedOn w:val="Normal"/>
    <w:link w:val="HeaderChar"/>
    <w:uiPriority w:val="99"/>
    <w:unhideWhenUsed/>
    <w:rsid w:val="00C24506"/>
    <w:pPr>
      <w:tabs>
        <w:tab w:val="center" w:pos="4680"/>
        <w:tab w:val="right" w:pos="9360"/>
      </w:tabs>
      <w:spacing w:line="240" w:lineRule="auto"/>
    </w:pPr>
  </w:style>
  <w:style w:type="character" w:customStyle="1" w:styleId="HeaderChar">
    <w:name w:val="Header Char"/>
    <w:basedOn w:val="DefaultParagraphFont"/>
    <w:link w:val="Header"/>
    <w:uiPriority w:val="99"/>
    <w:rsid w:val="00C24506"/>
    <w:rPr>
      <w:rFonts w:ascii="Arial" w:eastAsia="Arial" w:hAnsi="Arial" w:cs="Arial"/>
      <w:lang w:val="en" w:eastAsia="en-SG"/>
    </w:rPr>
  </w:style>
  <w:style w:type="paragraph" w:styleId="Footer">
    <w:name w:val="footer"/>
    <w:basedOn w:val="Normal"/>
    <w:link w:val="FooterChar"/>
    <w:uiPriority w:val="99"/>
    <w:unhideWhenUsed/>
    <w:rsid w:val="00C24506"/>
    <w:pPr>
      <w:tabs>
        <w:tab w:val="center" w:pos="4680"/>
        <w:tab w:val="right" w:pos="9360"/>
      </w:tabs>
      <w:spacing w:line="240" w:lineRule="auto"/>
    </w:pPr>
  </w:style>
  <w:style w:type="character" w:customStyle="1" w:styleId="FooterChar">
    <w:name w:val="Footer Char"/>
    <w:basedOn w:val="DefaultParagraphFont"/>
    <w:link w:val="Footer"/>
    <w:uiPriority w:val="99"/>
    <w:rsid w:val="00C24506"/>
    <w:rPr>
      <w:rFonts w:ascii="Arial" w:eastAsia="Arial" w:hAnsi="Arial" w:cs="Arial"/>
      <w:lang w:val="en" w:eastAsia="en-SG"/>
    </w:rPr>
  </w:style>
  <w:style w:type="paragraph" w:styleId="ListParagraph">
    <w:name w:val="List Paragraph"/>
    <w:basedOn w:val="Normal"/>
    <w:uiPriority w:val="34"/>
    <w:qFormat/>
    <w:rsid w:val="0068148D"/>
    <w:pPr>
      <w:ind w:left="720"/>
      <w:contextualSpacing/>
    </w:pPr>
  </w:style>
  <w:style w:type="paragraph" w:styleId="Title">
    <w:name w:val="Title"/>
    <w:basedOn w:val="Normal"/>
    <w:next w:val="Normal"/>
    <w:link w:val="TitleChar"/>
    <w:rsid w:val="0068148D"/>
    <w:pPr>
      <w:keepNext/>
      <w:keepLines/>
      <w:spacing w:after="60"/>
    </w:pPr>
    <w:rPr>
      <w:sz w:val="52"/>
      <w:szCs w:val="52"/>
    </w:rPr>
  </w:style>
  <w:style w:type="character" w:customStyle="1" w:styleId="TitleChar">
    <w:name w:val="Title Char"/>
    <w:basedOn w:val="DefaultParagraphFont"/>
    <w:link w:val="Title"/>
    <w:rsid w:val="0068148D"/>
    <w:rPr>
      <w:rFonts w:ascii="Arial" w:eastAsia="Arial" w:hAnsi="Arial" w:cs="Arial"/>
      <w:sz w:val="52"/>
      <w:szCs w:val="52"/>
      <w:lang w:val="en" w:eastAsia="en-SG"/>
    </w:rPr>
  </w:style>
  <w:style w:type="paragraph" w:styleId="Subtitle">
    <w:name w:val="Subtitle"/>
    <w:basedOn w:val="Normal"/>
    <w:next w:val="Normal"/>
    <w:link w:val="SubtitleChar"/>
    <w:rsid w:val="0068148D"/>
    <w:pPr>
      <w:keepNext/>
      <w:keepLines/>
      <w:spacing w:after="320"/>
    </w:pPr>
    <w:rPr>
      <w:color w:val="666666"/>
      <w:sz w:val="30"/>
      <w:szCs w:val="30"/>
    </w:rPr>
  </w:style>
  <w:style w:type="character" w:customStyle="1" w:styleId="SubtitleChar">
    <w:name w:val="Subtitle Char"/>
    <w:basedOn w:val="DefaultParagraphFont"/>
    <w:link w:val="Subtitle"/>
    <w:rsid w:val="0068148D"/>
    <w:rPr>
      <w:rFonts w:ascii="Arial" w:eastAsia="Arial" w:hAnsi="Arial" w:cs="Arial"/>
      <w:color w:val="666666"/>
      <w:sz w:val="30"/>
      <w:szCs w:val="30"/>
      <w:lang w:val="en" w:eastAsia="en-SG"/>
    </w:rPr>
  </w:style>
  <w:style w:type="paragraph" w:styleId="NoSpacing">
    <w:name w:val="No Spacing"/>
    <w:uiPriority w:val="1"/>
    <w:qFormat/>
    <w:rsid w:val="0068148D"/>
    <w:pPr>
      <w:spacing w:after="0" w:line="240" w:lineRule="auto"/>
    </w:pPr>
    <w:rPr>
      <w:rFonts w:ascii="Arial" w:eastAsia="Arial" w:hAnsi="Arial" w:cs="Arial"/>
      <w:lang w:val="en" w:eastAsia="en-SG"/>
    </w:rPr>
  </w:style>
  <w:style w:type="table" w:styleId="TableGrid">
    <w:name w:val="Table Grid"/>
    <w:basedOn w:val="TableNormal"/>
    <w:uiPriority w:val="39"/>
    <w:rsid w:val="0068148D"/>
    <w:pPr>
      <w:spacing w:after="0" w:line="240" w:lineRule="auto"/>
    </w:pPr>
    <w:rPr>
      <w:rFonts w:ascii="Arial" w:eastAsia="Arial" w:hAnsi="Arial" w:cs="Arial"/>
      <w:lang w:val="en"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148D"/>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BalloonTextChar">
    <w:name w:val="Balloon Text Char"/>
    <w:basedOn w:val="DefaultParagraphFont"/>
    <w:link w:val="BalloonText"/>
    <w:uiPriority w:val="99"/>
    <w:semiHidden/>
    <w:rsid w:val="0068148D"/>
    <w:rPr>
      <w:rFonts w:ascii="Segoe UI" w:eastAsia="Arial" w:hAnsi="Segoe UI" w:cs="Segoe UI"/>
      <w:sz w:val="18"/>
      <w:szCs w:val="18"/>
      <w:lang w:val="en" w:eastAsia="en-SG"/>
    </w:rPr>
  </w:style>
  <w:style w:type="paragraph" w:styleId="BalloonText">
    <w:name w:val="Balloon Text"/>
    <w:basedOn w:val="Normal"/>
    <w:link w:val="BalloonTextChar"/>
    <w:uiPriority w:val="99"/>
    <w:semiHidden/>
    <w:unhideWhenUsed/>
    <w:rsid w:val="0068148D"/>
    <w:pPr>
      <w:spacing w:line="240" w:lineRule="auto"/>
    </w:pPr>
    <w:rPr>
      <w:rFonts w:ascii="Segoe UI" w:hAnsi="Segoe UI" w:cs="Segoe UI"/>
      <w:sz w:val="18"/>
      <w:szCs w:val="18"/>
    </w:rPr>
  </w:style>
  <w:style w:type="paragraph" w:customStyle="1" w:styleId="Default">
    <w:name w:val="Default"/>
    <w:rsid w:val="00C946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7Char">
    <w:name w:val="Heading 7 Char"/>
    <w:basedOn w:val="DefaultParagraphFont"/>
    <w:link w:val="Heading7"/>
    <w:uiPriority w:val="9"/>
    <w:rsid w:val="005164F2"/>
    <w:rPr>
      <w:rFonts w:asciiTheme="majorHAnsi" w:eastAsiaTheme="majorEastAsia" w:hAnsiTheme="majorHAnsi" w:cstheme="majorBidi"/>
      <w:i/>
      <w:iCs/>
      <w:color w:val="1F4D78" w:themeColor="accent1" w:themeShade="7F"/>
      <w:lang w:val="en" w:eastAsia="en-SG"/>
    </w:rPr>
  </w:style>
  <w:style w:type="table" w:customStyle="1" w:styleId="TableGrid1">
    <w:name w:val="Table Grid1"/>
    <w:basedOn w:val="TableNormal"/>
    <w:next w:val="TableGrid"/>
    <w:uiPriority w:val="39"/>
    <w:rsid w:val="004926FB"/>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B048D"/>
    <w:pPr>
      <w:spacing w:after="0" w:line="240" w:lineRule="auto"/>
    </w:pPr>
    <w:rPr>
      <w:rFonts w:ascii="Arial" w:eastAsia="Arial" w:hAnsi="Arial" w:cs="Arial"/>
      <w:lang w:val="en"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0811"/>
    <w:rPr>
      <w:sz w:val="16"/>
      <w:szCs w:val="16"/>
    </w:rPr>
  </w:style>
  <w:style w:type="paragraph" w:styleId="CommentText">
    <w:name w:val="annotation text"/>
    <w:basedOn w:val="Normal"/>
    <w:link w:val="CommentTextChar"/>
    <w:uiPriority w:val="99"/>
    <w:semiHidden/>
    <w:unhideWhenUsed/>
    <w:rsid w:val="000A0811"/>
    <w:pPr>
      <w:spacing w:line="240" w:lineRule="auto"/>
    </w:pPr>
    <w:rPr>
      <w:sz w:val="20"/>
      <w:szCs w:val="20"/>
    </w:rPr>
  </w:style>
  <w:style w:type="character" w:customStyle="1" w:styleId="CommentTextChar">
    <w:name w:val="Comment Text Char"/>
    <w:basedOn w:val="DefaultParagraphFont"/>
    <w:link w:val="CommentText"/>
    <w:uiPriority w:val="99"/>
    <w:semiHidden/>
    <w:rsid w:val="000A0811"/>
    <w:rPr>
      <w:rFonts w:ascii="Arial" w:eastAsia="Arial" w:hAnsi="Arial" w:cs="Arial"/>
      <w:sz w:val="20"/>
      <w:szCs w:val="20"/>
      <w:lang w:val="en" w:eastAsia="en-SG"/>
    </w:rPr>
  </w:style>
  <w:style w:type="paragraph" w:styleId="CommentSubject">
    <w:name w:val="annotation subject"/>
    <w:basedOn w:val="CommentText"/>
    <w:next w:val="CommentText"/>
    <w:link w:val="CommentSubjectChar"/>
    <w:uiPriority w:val="99"/>
    <w:semiHidden/>
    <w:unhideWhenUsed/>
    <w:rsid w:val="000A0811"/>
    <w:rPr>
      <w:b/>
      <w:bCs/>
    </w:rPr>
  </w:style>
  <w:style w:type="character" w:customStyle="1" w:styleId="CommentSubjectChar">
    <w:name w:val="Comment Subject Char"/>
    <w:basedOn w:val="CommentTextChar"/>
    <w:link w:val="CommentSubject"/>
    <w:uiPriority w:val="99"/>
    <w:semiHidden/>
    <w:rsid w:val="000A0811"/>
    <w:rPr>
      <w:rFonts w:ascii="Arial" w:eastAsia="Arial" w:hAnsi="Arial" w:cs="Arial"/>
      <w:b/>
      <w:bCs/>
      <w:sz w:val="20"/>
      <w:szCs w:val="20"/>
      <w:lang w:val="en"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5726">
      <w:bodyDiv w:val="1"/>
      <w:marLeft w:val="0"/>
      <w:marRight w:val="0"/>
      <w:marTop w:val="0"/>
      <w:marBottom w:val="0"/>
      <w:divBdr>
        <w:top w:val="none" w:sz="0" w:space="0" w:color="auto"/>
        <w:left w:val="none" w:sz="0" w:space="0" w:color="auto"/>
        <w:bottom w:val="none" w:sz="0" w:space="0" w:color="auto"/>
        <w:right w:val="none" w:sz="0" w:space="0" w:color="auto"/>
      </w:divBdr>
    </w:div>
    <w:div w:id="110363208">
      <w:bodyDiv w:val="1"/>
      <w:marLeft w:val="0"/>
      <w:marRight w:val="0"/>
      <w:marTop w:val="0"/>
      <w:marBottom w:val="0"/>
      <w:divBdr>
        <w:top w:val="none" w:sz="0" w:space="0" w:color="auto"/>
        <w:left w:val="none" w:sz="0" w:space="0" w:color="auto"/>
        <w:bottom w:val="none" w:sz="0" w:space="0" w:color="auto"/>
        <w:right w:val="none" w:sz="0" w:space="0" w:color="auto"/>
      </w:divBdr>
      <w:divsChild>
        <w:div w:id="1226798001">
          <w:marLeft w:val="-7"/>
          <w:marRight w:val="0"/>
          <w:marTop w:val="0"/>
          <w:marBottom w:val="0"/>
          <w:divBdr>
            <w:top w:val="none" w:sz="0" w:space="0" w:color="auto"/>
            <w:left w:val="none" w:sz="0" w:space="0" w:color="auto"/>
            <w:bottom w:val="none" w:sz="0" w:space="0" w:color="auto"/>
            <w:right w:val="none" w:sz="0" w:space="0" w:color="auto"/>
          </w:divBdr>
        </w:div>
        <w:div w:id="179200714">
          <w:marLeft w:val="-22"/>
          <w:marRight w:val="0"/>
          <w:marTop w:val="0"/>
          <w:marBottom w:val="0"/>
          <w:divBdr>
            <w:top w:val="none" w:sz="0" w:space="0" w:color="auto"/>
            <w:left w:val="none" w:sz="0" w:space="0" w:color="auto"/>
            <w:bottom w:val="none" w:sz="0" w:space="0" w:color="auto"/>
            <w:right w:val="none" w:sz="0" w:space="0" w:color="auto"/>
          </w:divBdr>
        </w:div>
        <w:div w:id="880171935">
          <w:marLeft w:val="-22"/>
          <w:marRight w:val="0"/>
          <w:marTop w:val="0"/>
          <w:marBottom w:val="0"/>
          <w:divBdr>
            <w:top w:val="none" w:sz="0" w:space="0" w:color="auto"/>
            <w:left w:val="none" w:sz="0" w:space="0" w:color="auto"/>
            <w:bottom w:val="none" w:sz="0" w:space="0" w:color="auto"/>
            <w:right w:val="none" w:sz="0" w:space="0" w:color="auto"/>
          </w:divBdr>
        </w:div>
        <w:div w:id="574629314">
          <w:marLeft w:val="-115"/>
          <w:marRight w:val="0"/>
          <w:marTop w:val="0"/>
          <w:marBottom w:val="0"/>
          <w:divBdr>
            <w:top w:val="none" w:sz="0" w:space="0" w:color="auto"/>
            <w:left w:val="none" w:sz="0" w:space="0" w:color="auto"/>
            <w:bottom w:val="none" w:sz="0" w:space="0" w:color="auto"/>
            <w:right w:val="none" w:sz="0" w:space="0" w:color="auto"/>
          </w:divBdr>
        </w:div>
      </w:divsChild>
    </w:div>
    <w:div w:id="129059510">
      <w:bodyDiv w:val="1"/>
      <w:marLeft w:val="0"/>
      <w:marRight w:val="0"/>
      <w:marTop w:val="0"/>
      <w:marBottom w:val="0"/>
      <w:divBdr>
        <w:top w:val="none" w:sz="0" w:space="0" w:color="auto"/>
        <w:left w:val="none" w:sz="0" w:space="0" w:color="auto"/>
        <w:bottom w:val="none" w:sz="0" w:space="0" w:color="auto"/>
        <w:right w:val="none" w:sz="0" w:space="0" w:color="auto"/>
      </w:divBdr>
      <w:divsChild>
        <w:div w:id="637104082">
          <w:marLeft w:val="720"/>
          <w:marRight w:val="0"/>
          <w:marTop w:val="0"/>
          <w:marBottom w:val="0"/>
          <w:divBdr>
            <w:top w:val="none" w:sz="0" w:space="0" w:color="auto"/>
            <w:left w:val="none" w:sz="0" w:space="0" w:color="auto"/>
            <w:bottom w:val="none" w:sz="0" w:space="0" w:color="auto"/>
            <w:right w:val="none" w:sz="0" w:space="0" w:color="auto"/>
          </w:divBdr>
        </w:div>
      </w:divsChild>
    </w:div>
    <w:div w:id="184558541">
      <w:bodyDiv w:val="1"/>
      <w:marLeft w:val="0"/>
      <w:marRight w:val="0"/>
      <w:marTop w:val="0"/>
      <w:marBottom w:val="0"/>
      <w:divBdr>
        <w:top w:val="none" w:sz="0" w:space="0" w:color="auto"/>
        <w:left w:val="none" w:sz="0" w:space="0" w:color="auto"/>
        <w:bottom w:val="none" w:sz="0" w:space="0" w:color="auto"/>
        <w:right w:val="none" w:sz="0" w:space="0" w:color="auto"/>
      </w:divBdr>
      <w:divsChild>
        <w:div w:id="200172962">
          <w:marLeft w:val="-108"/>
          <w:marRight w:val="0"/>
          <w:marTop w:val="0"/>
          <w:marBottom w:val="0"/>
          <w:divBdr>
            <w:top w:val="none" w:sz="0" w:space="0" w:color="auto"/>
            <w:left w:val="none" w:sz="0" w:space="0" w:color="auto"/>
            <w:bottom w:val="none" w:sz="0" w:space="0" w:color="auto"/>
            <w:right w:val="none" w:sz="0" w:space="0" w:color="auto"/>
          </w:divBdr>
        </w:div>
      </w:divsChild>
    </w:div>
    <w:div w:id="187302741">
      <w:bodyDiv w:val="1"/>
      <w:marLeft w:val="0"/>
      <w:marRight w:val="0"/>
      <w:marTop w:val="0"/>
      <w:marBottom w:val="0"/>
      <w:divBdr>
        <w:top w:val="none" w:sz="0" w:space="0" w:color="auto"/>
        <w:left w:val="none" w:sz="0" w:space="0" w:color="auto"/>
        <w:bottom w:val="none" w:sz="0" w:space="0" w:color="auto"/>
        <w:right w:val="none" w:sz="0" w:space="0" w:color="auto"/>
      </w:divBdr>
    </w:div>
    <w:div w:id="197159295">
      <w:bodyDiv w:val="1"/>
      <w:marLeft w:val="0"/>
      <w:marRight w:val="0"/>
      <w:marTop w:val="0"/>
      <w:marBottom w:val="0"/>
      <w:divBdr>
        <w:top w:val="none" w:sz="0" w:space="0" w:color="auto"/>
        <w:left w:val="none" w:sz="0" w:space="0" w:color="auto"/>
        <w:bottom w:val="none" w:sz="0" w:space="0" w:color="auto"/>
        <w:right w:val="none" w:sz="0" w:space="0" w:color="auto"/>
      </w:divBdr>
      <w:divsChild>
        <w:div w:id="2139764116">
          <w:marLeft w:val="-108"/>
          <w:marRight w:val="0"/>
          <w:marTop w:val="0"/>
          <w:marBottom w:val="0"/>
          <w:divBdr>
            <w:top w:val="none" w:sz="0" w:space="0" w:color="auto"/>
            <w:left w:val="none" w:sz="0" w:space="0" w:color="auto"/>
            <w:bottom w:val="none" w:sz="0" w:space="0" w:color="auto"/>
            <w:right w:val="none" w:sz="0" w:space="0" w:color="auto"/>
          </w:divBdr>
        </w:div>
        <w:div w:id="892813861">
          <w:marLeft w:val="-108"/>
          <w:marRight w:val="0"/>
          <w:marTop w:val="0"/>
          <w:marBottom w:val="0"/>
          <w:divBdr>
            <w:top w:val="none" w:sz="0" w:space="0" w:color="auto"/>
            <w:left w:val="none" w:sz="0" w:space="0" w:color="auto"/>
            <w:bottom w:val="none" w:sz="0" w:space="0" w:color="auto"/>
            <w:right w:val="none" w:sz="0" w:space="0" w:color="auto"/>
          </w:divBdr>
        </w:div>
        <w:div w:id="1701586657">
          <w:marLeft w:val="-108"/>
          <w:marRight w:val="0"/>
          <w:marTop w:val="0"/>
          <w:marBottom w:val="0"/>
          <w:divBdr>
            <w:top w:val="none" w:sz="0" w:space="0" w:color="auto"/>
            <w:left w:val="none" w:sz="0" w:space="0" w:color="auto"/>
            <w:bottom w:val="none" w:sz="0" w:space="0" w:color="auto"/>
            <w:right w:val="none" w:sz="0" w:space="0" w:color="auto"/>
          </w:divBdr>
        </w:div>
        <w:div w:id="1467628472">
          <w:marLeft w:val="-22"/>
          <w:marRight w:val="0"/>
          <w:marTop w:val="0"/>
          <w:marBottom w:val="0"/>
          <w:divBdr>
            <w:top w:val="none" w:sz="0" w:space="0" w:color="auto"/>
            <w:left w:val="none" w:sz="0" w:space="0" w:color="auto"/>
            <w:bottom w:val="none" w:sz="0" w:space="0" w:color="auto"/>
            <w:right w:val="none" w:sz="0" w:space="0" w:color="auto"/>
          </w:divBdr>
        </w:div>
      </w:divsChild>
    </w:div>
    <w:div w:id="197738334">
      <w:bodyDiv w:val="1"/>
      <w:marLeft w:val="0"/>
      <w:marRight w:val="0"/>
      <w:marTop w:val="0"/>
      <w:marBottom w:val="0"/>
      <w:divBdr>
        <w:top w:val="none" w:sz="0" w:space="0" w:color="auto"/>
        <w:left w:val="none" w:sz="0" w:space="0" w:color="auto"/>
        <w:bottom w:val="none" w:sz="0" w:space="0" w:color="auto"/>
        <w:right w:val="none" w:sz="0" w:space="0" w:color="auto"/>
      </w:divBdr>
    </w:div>
    <w:div w:id="315033854">
      <w:bodyDiv w:val="1"/>
      <w:marLeft w:val="0"/>
      <w:marRight w:val="0"/>
      <w:marTop w:val="0"/>
      <w:marBottom w:val="0"/>
      <w:divBdr>
        <w:top w:val="none" w:sz="0" w:space="0" w:color="auto"/>
        <w:left w:val="none" w:sz="0" w:space="0" w:color="auto"/>
        <w:bottom w:val="none" w:sz="0" w:space="0" w:color="auto"/>
        <w:right w:val="none" w:sz="0" w:space="0" w:color="auto"/>
      </w:divBdr>
    </w:div>
    <w:div w:id="486096917">
      <w:bodyDiv w:val="1"/>
      <w:marLeft w:val="0"/>
      <w:marRight w:val="0"/>
      <w:marTop w:val="0"/>
      <w:marBottom w:val="0"/>
      <w:divBdr>
        <w:top w:val="none" w:sz="0" w:space="0" w:color="auto"/>
        <w:left w:val="none" w:sz="0" w:space="0" w:color="auto"/>
        <w:bottom w:val="none" w:sz="0" w:space="0" w:color="auto"/>
        <w:right w:val="none" w:sz="0" w:space="0" w:color="auto"/>
      </w:divBdr>
    </w:div>
    <w:div w:id="494690038">
      <w:bodyDiv w:val="1"/>
      <w:marLeft w:val="0"/>
      <w:marRight w:val="0"/>
      <w:marTop w:val="0"/>
      <w:marBottom w:val="0"/>
      <w:divBdr>
        <w:top w:val="none" w:sz="0" w:space="0" w:color="auto"/>
        <w:left w:val="none" w:sz="0" w:space="0" w:color="auto"/>
        <w:bottom w:val="none" w:sz="0" w:space="0" w:color="auto"/>
        <w:right w:val="none" w:sz="0" w:space="0" w:color="auto"/>
      </w:divBdr>
      <w:divsChild>
        <w:div w:id="1108504151">
          <w:marLeft w:val="720"/>
          <w:marRight w:val="0"/>
          <w:marTop w:val="0"/>
          <w:marBottom w:val="0"/>
          <w:divBdr>
            <w:top w:val="none" w:sz="0" w:space="0" w:color="auto"/>
            <w:left w:val="none" w:sz="0" w:space="0" w:color="auto"/>
            <w:bottom w:val="none" w:sz="0" w:space="0" w:color="auto"/>
            <w:right w:val="none" w:sz="0" w:space="0" w:color="auto"/>
          </w:divBdr>
        </w:div>
      </w:divsChild>
    </w:div>
    <w:div w:id="534579975">
      <w:bodyDiv w:val="1"/>
      <w:marLeft w:val="0"/>
      <w:marRight w:val="0"/>
      <w:marTop w:val="0"/>
      <w:marBottom w:val="0"/>
      <w:divBdr>
        <w:top w:val="none" w:sz="0" w:space="0" w:color="auto"/>
        <w:left w:val="none" w:sz="0" w:space="0" w:color="auto"/>
        <w:bottom w:val="none" w:sz="0" w:space="0" w:color="auto"/>
        <w:right w:val="none" w:sz="0" w:space="0" w:color="auto"/>
      </w:divBdr>
    </w:div>
    <w:div w:id="537133472">
      <w:bodyDiv w:val="1"/>
      <w:marLeft w:val="0"/>
      <w:marRight w:val="0"/>
      <w:marTop w:val="0"/>
      <w:marBottom w:val="0"/>
      <w:divBdr>
        <w:top w:val="none" w:sz="0" w:space="0" w:color="auto"/>
        <w:left w:val="none" w:sz="0" w:space="0" w:color="auto"/>
        <w:bottom w:val="none" w:sz="0" w:space="0" w:color="auto"/>
        <w:right w:val="none" w:sz="0" w:space="0" w:color="auto"/>
      </w:divBdr>
      <w:divsChild>
        <w:div w:id="730693559">
          <w:marLeft w:val="-108"/>
          <w:marRight w:val="0"/>
          <w:marTop w:val="0"/>
          <w:marBottom w:val="0"/>
          <w:divBdr>
            <w:top w:val="none" w:sz="0" w:space="0" w:color="auto"/>
            <w:left w:val="none" w:sz="0" w:space="0" w:color="auto"/>
            <w:bottom w:val="none" w:sz="0" w:space="0" w:color="auto"/>
            <w:right w:val="none" w:sz="0" w:space="0" w:color="auto"/>
          </w:divBdr>
        </w:div>
        <w:div w:id="790169704">
          <w:marLeft w:val="-108"/>
          <w:marRight w:val="0"/>
          <w:marTop w:val="0"/>
          <w:marBottom w:val="0"/>
          <w:divBdr>
            <w:top w:val="none" w:sz="0" w:space="0" w:color="auto"/>
            <w:left w:val="none" w:sz="0" w:space="0" w:color="auto"/>
            <w:bottom w:val="none" w:sz="0" w:space="0" w:color="auto"/>
            <w:right w:val="none" w:sz="0" w:space="0" w:color="auto"/>
          </w:divBdr>
        </w:div>
        <w:div w:id="1854563578">
          <w:marLeft w:val="-108"/>
          <w:marRight w:val="0"/>
          <w:marTop w:val="0"/>
          <w:marBottom w:val="0"/>
          <w:divBdr>
            <w:top w:val="none" w:sz="0" w:space="0" w:color="auto"/>
            <w:left w:val="none" w:sz="0" w:space="0" w:color="auto"/>
            <w:bottom w:val="none" w:sz="0" w:space="0" w:color="auto"/>
            <w:right w:val="none" w:sz="0" w:space="0" w:color="auto"/>
          </w:divBdr>
        </w:div>
        <w:div w:id="1857695945">
          <w:marLeft w:val="-108"/>
          <w:marRight w:val="0"/>
          <w:marTop w:val="0"/>
          <w:marBottom w:val="0"/>
          <w:divBdr>
            <w:top w:val="none" w:sz="0" w:space="0" w:color="auto"/>
            <w:left w:val="none" w:sz="0" w:space="0" w:color="auto"/>
            <w:bottom w:val="none" w:sz="0" w:space="0" w:color="auto"/>
            <w:right w:val="none" w:sz="0" w:space="0" w:color="auto"/>
          </w:divBdr>
        </w:div>
        <w:div w:id="1666201571">
          <w:marLeft w:val="-108"/>
          <w:marRight w:val="0"/>
          <w:marTop w:val="0"/>
          <w:marBottom w:val="0"/>
          <w:divBdr>
            <w:top w:val="none" w:sz="0" w:space="0" w:color="auto"/>
            <w:left w:val="none" w:sz="0" w:space="0" w:color="auto"/>
            <w:bottom w:val="none" w:sz="0" w:space="0" w:color="auto"/>
            <w:right w:val="none" w:sz="0" w:space="0" w:color="auto"/>
          </w:divBdr>
        </w:div>
      </w:divsChild>
    </w:div>
    <w:div w:id="695471729">
      <w:bodyDiv w:val="1"/>
      <w:marLeft w:val="0"/>
      <w:marRight w:val="0"/>
      <w:marTop w:val="0"/>
      <w:marBottom w:val="0"/>
      <w:divBdr>
        <w:top w:val="none" w:sz="0" w:space="0" w:color="auto"/>
        <w:left w:val="none" w:sz="0" w:space="0" w:color="auto"/>
        <w:bottom w:val="none" w:sz="0" w:space="0" w:color="auto"/>
        <w:right w:val="none" w:sz="0" w:space="0" w:color="auto"/>
      </w:divBdr>
    </w:div>
    <w:div w:id="828060583">
      <w:bodyDiv w:val="1"/>
      <w:marLeft w:val="0"/>
      <w:marRight w:val="0"/>
      <w:marTop w:val="0"/>
      <w:marBottom w:val="0"/>
      <w:divBdr>
        <w:top w:val="none" w:sz="0" w:space="0" w:color="auto"/>
        <w:left w:val="none" w:sz="0" w:space="0" w:color="auto"/>
        <w:bottom w:val="none" w:sz="0" w:space="0" w:color="auto"/>
        <w:right w:val="none" w:sz="0" w:space="0" w:color="auto"/>
      </w:divBdr>
    </w:div>
    <w:div w:id="864245953">
      <w:bodyDiv w:val="1"/>
      <w:marLeft w:val="0"/>
      <w:marRight w:val="0"/>
      <w:marTop w:val="0"/>
      <w:marBottom w:val="0"/>
      <w:divBdr>
        <w:top w:val="none" w:sz="0" w:space="0" w:color="auto"/>
        <w:left w:val="none" w:sz="0" w:space="0" w:color="auto"/>
        <w:bottom w:val="none" w:sz="0" w:space="0" w:color="auto"/>
        <w:right w:val="none" w:sz="0" w:space="0" w:color="auto"/>
      </w:divBdr>
    </w:div>
    <w:div w:id="972367134">
      <w:bodyDiv w:val="1"/>
      <w:marLeft w:val="0"/>
      <w:marRight w:val="0"/>
      <w:marTop w:val="0"/>
      <w:marBottom w:val="0"/>
      <w:divBdr>
        <w:top w:val="none" w:sz="0" w:space="0" w:color="auto"/>
        <w:left w:val="none" w:sz="0" w:space="0" w:color="auto"/>
        <w:bottom w:val="none" w:sz="0" w:space="0" w:color="auto"/>
        <w:right w:val="none" w:sz="0" w:space="0" w:color="auto"/>
      </w:divBdr>
      <w:divsChild>
        <w:div w:id="811365772">
          <w:marLeft w:val="0"/>
          <w:marRight w:val="0"/>
          <w:marTop w:val="0"/>
          <w:marBottom w:val="0"/>
          <w:divBdr>
            <w:top w:val="none" w:sz="0" w:space="0" w:color="auto"/>
            <w:left w:val="none" w:sz="0" w:space="0" w:color="auto"/>
            <w:bottom w:val="none" w:sz="0" w:space="0" w:color="auto"/>
            <w:right w:val="none" w:sz="0" w:space="0" w:color="auto"/>
          </w:divBdr>
          <w:divsChild>
            <w:div w:id="1575165742">
              <w:marLeft w:val="0"/>
              <w:marRight w:val="0"/>
              <w:marTop w:val="0"/>
              <w:marBottom w:val="0"/>
              <w:divBdr>
                <w:top w:val="single" w:sz="12" w:space="0" w:color="1A73E8"/>
                <w:left w:val="single" w:sz="12" w:space="2" w:color="1A73E8"/>
                <w:bottom w:val="single" w:sz="12" w:space="0" w:color="1A73E8"/>
                <w:right w:val="single" w:sz="12" w:space="2" w:color="1A73E8"/>
              </w:divBdr>
              <w:divsChild>
                <w:div w:id="11295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3367">
      <w:bodyDiv w:val="1"/>
      <w:marLeft w:val="0"/>
      <w:marRight w:val="0"/>
      <w:marTop w:val="0"/>
      <w:marBottom w:val="0"/>
      <w:divBdr>
        <w:top w:val="none" w:sz="0" w:space="0" w:color="auto"/>
        <w:left w:val="none" w:sz="0" w:space="0" w:color="auto"/>
        <w:bottom w:val="none" w:sz="0" w:space="0" w:color="auto"/>
        <w:right w:val="none" w:sz="0" w:space="0" w:color="auto"/>
      </w:divBdr>
    </w:div>
    <w:div w:id="1229149607">
      <w:bodyDiv w:val="1"/>
      <w:marLeft w:val="0"/>
      <w:marRight w:val="0"/>
      <w:marTop w:val="0"/>
      <w:marBottom w:val="0"/>
      <w:divBdr>
        <w:top w:val="none" w:sz="0" w:space="0" w:color="auto"/>
        <w:left w:val="none" w:sz="0" w:space="0" w:color="auto"/>
        <w:bottom w:val="none" w:sz="0" w:space="0" w:color="auto"/>
        <w:right w:val="none" w:sz="0" w:space="0" w:color="auto"/>
      </w:divBdr>
    </w:div>
    <w:div w:id="1254582567">
      <w:bodyDiv w:val="1"/>
      <w:marLeft w:val="0"/>
      <w:marRight w:val="0"/>
      <w:marTop w:val="0"/>
      <w:marBottom w:val="0"/>
      <w:divBdr>
        <w:top w:val="none" w:sz="0" w:space="0" w:color="auto"/>
        <w:left w:val="none" w:sz="0" w:space="0" w:color="auto"/>
        <w:bottom w:val="none" w:sz="0" w:space="0" w:color="auto"/>
        <w:right w:val="none" w:sz="0" w:space="0" w:color="auto"/>
      </w:divBdr>
    </w:div>
    <w:div w:id="1273709239">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53798779">
      <w:bodyDiv w:val="1"/>
      <w:marLeft w:val="0"/>
      <w:marRight w:val="0"/>
      <w:marTop w:val="0"/>
      <w:marBottom w:val="0"/>
      <w:divBdr>
        <w:top w:val="none" w:sz="0" w:space="0" w:color="auto"/>
        <w:left w:val="none" w:sz="0" w:space="0" w:color="auto"/>
        <w:bottom w:val="none" w:sz="0" w:space="0" w:color="auto"/>
        <w:right w:val="none" w:sz="0" w:space="0" w:color="auto"/>
      </w:divBdr>
    </w:div>
    <w:div w:id="1379823021">
      <w:bodyDiv w:val="1"/>
      <w:marLeft w:val="0"/>
      <w:marRight w:val="0"/>
      <w:marTop w:val="0"/>
      <w:marBottom w:val="0"/>
      <w:divBdr>
        <w:top w:val="none" w:sz="0" w:space="0" w:color="auto"/>
        <w:left w:val="none" w:sz="0" w:space="0" w:color="auto"/>
        <w:bottom w:val="none" w:sz="0" w:space="0" w:color="auto"/>
        <w:right w:val="none" w:sz="0" w:space="0" w:color="auto"/>
      </w:divBdr>
      <w:divsChild>
        <w:div w:id="1468746155">
          <w:marLeft w:val="604"/>
          <w:marRight w:val="0"/>
          <w:marTop w:val="0"/>
          <w:marBottom w:val="0"/>
          <w:divBdr>
            <w:top w:val="none" w:sz="0" w:space="0" w:color="auto"/>
            <w:left w:val="none" w:sz="0" w:space="0" w:color="auto"/>
            <w:bottom w:val="none" w:sz="0" w:space="0" w:color="auto"/>
            <w:right w:val="none" w:sz="0" w:space="0" w:color="auto"/>
          </w:divBdr>
        </w:div>
        <w:div w:id="1537766056">
          <w:marLeft w:val="-100"/>
          <w:marRight w:val="0"/>
          <w:marTop w:val="0"/>
          <w:marBottom w:val="0"/>
          <w:divBdr>
            <w:top w:val="none" w:sz="0" w:space="0" w:color="auto"/>
            <w:left w:val="none" w:sz="0" w:space="0" w:color="auto"/>
            <w:bottom w:val="none" w:sz="0" w:space="0" w:color="auto"/>
            <w:right w:val="none" w:sz="0" w:space="0" w:color="auto"/>
          </w:divBdr>
        </w:div>
        <w:div w:id="1727410772">
          <w:marLeft w:val="-100"/>
          <w:marRight w:val="0"/>
          <w:marTop w:val="0"/>
          <w:marBottom w:val="0"/>
          <w:divBdr>
            <w:top w:val="none" w:sz="0" w:space="0" w:color="auto"/>
            <w:left w:val="none" w:sz="0" w:space="0" w:color="auto"/>
            <w:bottom w:val="none" w:sz="0" w:space="0" w:color="auto"/>
            <w:right w:val="none" w:sz="0" w:space="0" w:color="auto"/>
          </w:divBdr>
        </w:div>
      </w:divsChild>
    </w:div>
    <w:div w:id="1481381943">
      <w:bodyDiv w:val="1"/>
      <w:marLeft w:val="0"/>
      <w:marRight w:val="0"/>
      <w:marTop w:val="0"/>
      <w:marBottom w:val="0"/>
      <w:divBdr>
        <w:top w:val="none" w:sz="0" w:space="0" w:color="auto"/>
        <w:left w:val="none" w:sz="0" w:space="0" w:color="auto"/>
        <w:bottom w:val="none" w:sz="0" w:space="0" w:color="auto"/>
        <w:right w:val="none" w:sz="0" w:space="0" w:color="auto"/>
      </w:divBdr>
    </w:div>
    <w:div w:id="1540583458">
      <w:bodyDiv w:val="1"/>
      <w:marLeft w:val="0"/>
      <w:marRight w:val="0"/>
      <w:marTop w:val="0"/>
      <w:marBottom w:val="0"/>
      <w:divBdr>
        <w:top w:val="none" w:sz="0" w:space="0" w:color="auto"/>
        <w:left w:val="none" w:sz="0" w:space="0" w:color="auto"/>
        <w:bottom w:val="none" w:sz="0" w:space="0" w:color="auto"/>
        <w:right w:val="none" w:sz="0" w:space="0" w:color="auto"/>
      </w:divBdr>
    </w:div>
    <w:div w:id="1554004265">
      <w:bodyDiv w:val="1"/>
      <w:marLeft w:val="0"/>
      <w:marRight w:val="0"/>
      <w:marTop w:val="0"/>
      <w:marBottom w:val="0"/>
      <w:divBdr>
        <w:top w:val="none" w:sz="0" w:space="0" w:color="auto"/>
        <w:left w:val="none" w:sz="0" w:space="0" w:color="auto"/>
        <w:bottom w:val="none" w:sz="0" w:space="0" w:color="auto"/>
        <w:right w:val="none" w:sz="0" w:space="0" w:color="auto"/>
      </w:divBdr>
    </w:div>
    <w:div w:id="1573352841">
      <w:bodyDiv w:val="1"/>
      <w:marLeft w:val="0"/>
      <w:marRight w:val="0"/>
      <w:marTop w:val="0"/>
      <w:marBottom w:val="0"/>
      <w:divBdr>
        <w:top w:val="none" w:sz="0" w:space="0" w:color="auto"/>
        <w:left w:val="none" w:sz="0" w:space="0" w:color="auto"/>
        <w:bottom w:val="none" w:sz="0" w:space="0" w:color="auto"/>
        <w:right w:val="none" w:sz="0" w:space="0" w:color="auto"/>
      </w:divBdr>
    </w:div>
    <w:div w:id="1583903772">
      <w:bodyDiv w:val="1"/>
      <w:marLeft w:val="0"/>
      <w:marRight w:val="0"/>
      <w:marTop w:val="0"/>
      <w:marBottom w:val="0"/>
      <w:divBdr>
        <w:top w:val="none" w:sz="0" w:space="0" w:color="auto"/>
        <w:left w:val="none" w:sz="0" w:space="0" w:color="auto"/>
        <w:bottom w:val="none" w:sz="0" w:space="0" w:color="auto"/>
        <w:right w:val="none" w:sz="0" w:space="0" w:color="auto"/>
      </w:divBdr>
      <w:divsChild>
        <w:div w:id="1042174264">
          <w:marLeft w:val="0"/>
          <w:marRight w:val="0"/>
          <w:marTop w:val="0"/>
          <w:marBottom w:val="0"/>
          <w:divBdr>
            <w:top w:val="none" w:sz="0" w:space="0" w:color="auto"/>
            <w:left w:val="none" w:sz="0" w:space="0" w:color="auto"/>
            <w:bottom w:val="none" w:sz="0" w:space="0" w:color="auto"/>
            <w:right w:val="none" w:sz="0" w:space="0" w:color="auto"/>
          </w:divBdr>
          <w:divsChild>
            <w:div w:id="2131851497">
              <w:marLeft w:val="0"/>
              <w:marRight w:val="0"/>
              <w:marTop w:val="0"/>
              <w:marBottom w:val="0"/>
              <w:divBdr>
                <w:top w:val="single" w:sz="12" w:space="0" w:color="1A73E8"/>
                <w:left w:val="single" w:sz="12" w:space="2" w:color="1A73E8"/>
                <w:bottom w:val="single" w:sz="12" w:space="0" w:color="1A73E8"/>
                <w:right w:val="single" w:sz="12" w:space="2" w:color="1A73E8"/>
              </w:divBdr>
              <w:divsChild>
                <w:div w:id="8445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4647">
      <w:bodyDiv w:val="1"/>
      <w:marLeft w:val="0"/>
      <w:marRight w:val="0"/>
      <w:marTop w:val="0"/>
      <w:marBottom w:val="0"/>
      <w:divBdr>
        <w:top w:val="none" w:sz="0" w:space="0" w:color="auto"/>
        <w:left w:val="none" w:sz="0" w:space="0" w:color="auto"/>
        <w:bottom w:val="none" w:sz="0" w:space="0" w:color="auto"/>
        <w:right w:val="none" w:sz="0" w:space="0" w:color="auto"/>
      </w:divBdr>
    </w:div>
    <w:div w:id="1717581039">
      <w:bodyDiv w:val="1"/>
      <w:marLeft w:val="0"/>
      <w:marRight w:val="0"/>
      <w:marTop w:val="0"/>
      <w:marBottom w:val="0"/>
      <w:divBdr>
        <w:top w:val="none" w:sz="0" w:space="0" w:color="auto"/>
        <w:left w:val="none" w:sz="0" w:space="0" w:color="auto"/>
        <w:bottom w:val="none" w:sz="0" w:space="0" w:color="auto"/>
        <w:right w:val="none" w:sz="0" w:space="0" w:color="auto"/>
      </w:divBdr>
    </w:div>
    <w:div w:id="1899239484">
      <w:bodyDiv w:val="1"/>
      <w:marLeft w:val="0"/>
      <w:marRight w:val="0"/>
      <w:marTop w:val="0"/>
      <w:marBottom w:val="0"/>
      <w:divBdr>
        <w:top w:val="none" w:sz="0" w:space="0" w:color="auto"/>
        <w:left w:val="none" w:sz="0" w:space="0" w:color="auto"/>
        <w:bottom w:val="none" w:sz="0" w:space="0" w:color="auto"/>
        <w:right w:val="none" w:sz="0" w:space="0" w:color="auto"/>
      </w:divBdr>
    </w:div>
    <w:div w:id="1913806808">
      <w:bodyDiv w:val="1"/>
      <w:marLeft w:val="0"/>
      <w:marRight w:val="0"/>
      <w:marTop w:val="0"/>
      <w:marBottom w:val="0"/>
      <w:divBdr>
        <w:top w:val="none" w:sz="0" w:space="0" w:color="auto"/>
        <w:left w:val="none" w:sz="0" w:space="0" w:color="auto"/>
        <w:bottom w:val="none" w:sz="0" w:space="0" w:color="auto"/>
        <w:right w:val="none" w:sz="0" w:space="0" w:color="auto"/>
      </w:divBdr>
    </w:div>
    <w:div w:id="20801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97F3-263F-49AE-980B-717E1E97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70</Pages>
  <Words>20980</Words>
  <Characters>119588</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 V. Dela Cruz</cp:lastModifiedBy>
  <cp:revision>11</cp:revision>
  <cp:lastPrinted>2022-07-12T05:37:00Z</cp:lastPrinted>
  <dcterms:created xsi:type="dcterms:W3CDTF">2022-07-11T03:53:00Z</dcterms:created>
  <dcterms:modified xsi:type="dcterms:W3CDTF">2022-07-12T07:22:00Z</dcterms:modified>
</cp:coreProperties>
</file>